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455B" w:rsidRDefault="00B1455B">
      <w:pPr>
        <w:keepNext/>
        <w:jc w:val="center"/>
        <w:outlineLvl w:val="1"/>
        <w:rPr>
          <w:b/>
          <w:bCs/>
        </w:rPr>
      </w:pPr>
    </w:p>
    <w:p w:rsidR="00B1455B" w:rsidRDefault="009E3CD9">
      <w:pPr>
        <w:jc w:val="center"/>
      </w:pPr>
      <w:r>
        <w:rPr>
          <w:b/>
        </w:rPr>
        <w:t>SERVIZIO DI CASSA E IL SERVIZIO DI INTERMEDIAZIONE TECNICA AL SISTEMA PAGOPA PER L’UNIVERSITA’ DEGLI STUDI DEL PIEMONTE ORIENTALE “A. AVOGADRO</w:t>
      </w:r>
      <w:r>
        <w:t>”</w:t>
      </w:r>
    </w:p>
    <w:p w:rsidR="00B1455B" w:rsidRDefault="009E3CD9">
      <w:pPr>
        <w:tabs>
          <w:tab w:val="left" w:pos="3510"/>
        </w:tabs>
        <w:rPr>
          <w:sz w:val="20"/>
        </w:rPr>
      </w:pPr>
      <w:r>
        <w:rPr>
          <w:sz w:val="20"/>
        </w:rPr>
        <w:tab/>
      </w:r>
    </w:p>
    <w:p w:rsidR="00B1455B" w:rsidRDefault="009E3CD9">
      <w:pPr>
        <w:keepNext/>
        <w:jc w:val="center"/>
        <w:outlineLvl w:val="1"/>
        <w:rPr>
          <w:sz w:val="20"/>
        </w:rPr>
      </w:pPr>
      <w:r>
        <w:rPr>
          <w:b/>
          <w:bCs/>
        </w:rPr>
        <w:t xml:space="preserve"> “Condizioni minime essenziali per lo svolgimento del servizio” </w:t>
      </w:r>
    </w:p>
    <w:p w:rsidR="00B1455B" w:rsidRDefault="00B1455B">
      <w:pPr>
        <w:rPr>
          <w:sz w:val="20"/>
        </w:rPr>
      </w:pPr>
    </w:p>
    <w:p w:rsidR="00B1455B" w:rsidRDefault="009E3CD9">
      <w:pPr>
        <w:jc w:val="both"/>
      </w:pPr>
      <w:r>
        <w:t>Si ricorda che i requisiti funzionali indicati nella presente scheda devono essere garantiti dall’applicativo e costituiscono aspetti vincolanti e imprescindibili dell’offerta da presentarsi in procedura di gara.</w:t>
      </w:r>
    </w:p>
    <w:p w:rsidR="00B1455B" w:rsidRPr="009E3CD9" w:rsidRDefault="009E3CD9">
      <w:pPr>
        <w:jc w:val="both"/>
      </w:pPr>
      <w:r w:rsidRPr="009E3CD9">
        <w:t>L’offerente dichiara di accettare le condizioni previste dal capitolato tecnico di gara, e in particolare dichiara espressamente di accettare e rispettare le seguenti condizioni</w:t>
      </w:r>
      <w:r w:rsidRPr="009E3CD9">
        <w:rPr>
          <w:u w:val="single"/>
        </w:rPr>
        <w:t xml:space="preserve"> a pena di esclusione della rispettiva offerta</w:t>
      </w:r>
      <w:r w:rsidRPr="009E3CD9">
        <w:t>:</w:t>
      </w:r>
    </w:p>
    <w:p w:rsidR="00B1455B" w:rsidRDefault="00B1455B">
      <w:pPr>
        <w:keepNext/>
        <w:jc w:val="center"/>
        <w:outlineLvl w:val="1"/>
      </w:pPr>
    </w:p>
    <w:p w:rsidR="00B1455B" w:rsidRDefault="00B1455B">
      <w:pPr>
        <w:keepNext/>
        <w:jc w:val="center"/>
        <w:outlineLvl w:val="1"/>
        <w:rPr>
          <w:b/>
          <w:bCs/>
        </w:rPr>
      </w:pPr>
    </w:p>
    <w:tbl>
      <w:tblPr>
        <w:tblStyle w:val="Grigliatabella"/>
        <w:tblW w:w="10195" w:type="dxa"/>
        <w:tblLayout w:type="fixed"/>
        <w:tblLook w:val="04A0" w:firstRow="1" w:lastRow="0" w:firstColumn="1" w:lastColumn="0" w:noHBand="0" w:noVBand="1"/>
      </w:tblPr>
      <w:tblGrid>
        <w:gridCol w:w="8217"/>
        <w:gridCol w:w="992"/>
        <w:gridCol w:w="986"/>
      </w:tblGrid>
      <w:tr w:rsidR="00B1455B">
        <w:tc>
          <w:tcPr>
            <w:tcW w:w="8217" w:type="dxa"/>
          </w:tcPr>
          <w:p w:rsidR="00B1455B" w:rsidRDefault="00B1455B">
            <w:pPr>
              <w:keepNext/>
              <w:widowControl w:val="0"/>
              <w:jc w:val="center"/>
              <w:outlineLvl w:val="1"/>
              <w:rPr>
                <w:b/>
                <w:bCs/>
              </w:rPr>
            </w:pPr>
          </w:p>
        </w:tc>
        <w:tc>
          <w:tcPr>
            <w:tcW w:w="992" w:type="dxa"/>
          </w:tcPr>
          <w:p w:rsidR="00B1455B" w:rsidRDefault="009E3CD9">
            <w:pPr>
              <w:keepNext/>
              <w:widowControl w:val="0"/>
              <w:ind w:left="40" w:right="-109" w:hanging="40"/>
              <w:jc w:val="center"/>
              <w:outlineLvl w:val="1"/>
              <w:rPr>
                <w:b/>
                <w:bCs/>
              </w:rPr>
            </w:pPr>
            <w:r>
              <w:rPr>
                <w:b/>
                <w:bCs/>
              </w:rPr>
              <w:t>SI’</w:t>
            </w:r>
          </w:p>
        </w:tc>
        <w:tc>
          <w:tcPr>
            <w:tcW w:w="986" w:type="dxa"/>
          </w:tcPr>
          <w:p w:rsidR="00B1455B" w:rsidRDefault="009E3CD9">
            <w:pPr>
              <w:keepNext/>
              <w:widowControl w:val="0"/>
              <w:ind w:left="42"/>
              <w:jc w:val="center"/>
              <w:outlineLvl w:val="1"/>
              <w:rPr>
                <w:b/>
                <w:bCs/>
              </w:rPr>
            </w:pPr>
            <w:r>
              <w:rPr>
                <w:b/>
                <w:bCs/>
              </w:rPr>
              <w:t>NO</w:t>
            </w:r>
          </w:p>
        </w:tc>
      </w:tr>
      <w:tr w:rsidR="00B1455B">
        <w:tc>
          <w:tcPr>
            <w:tcW w:w="8217" w:type="dxa"/>
          </w:tcPr>
          <w:p w:rsidR="00B1455B" w:rsidRDefault="009E3CD9">
            <w:pPr>
              <w:keepNext/>
              <w:widowControl w:val="0"/>
              <w:outlineLvl w:val="1"/>
              <w:rPr>
                <w:b/>
                <w:bCs/>
              </w:rPr>
            </w:pPr>
            <w:r>
              <w:rPr>
                <w:b/>
                <w:bCs/>
              </w:rPr>
              <w:t>Art. 1 – OGGETTO DELL’APPALTO</w:t>
            </w:r>
          </w:p>
        </w:tc>
        <w:tc>
          <w:tcPr>
            <w:tcW w:w="992" w:type="dxa"/>
          </w:tcPr>
          <w:p w:rsidR="00B1455B" w:rsidRDefault="00B1455B">
            <w:pPr>
              <w:keepNext/>
              <w:widowControl w:val="0"/>
              <w:ind w:left="360"/>
              <w:jc w:val="center"/>
              <w:outlineLvl w:val="1"/>
              <w:rPr>
                <w:b/>
                <w:bCs/>
              </w:rPr>
            </w:pPr>
          </w:p>
        </w:tc>
        <w:tc>
          <w:tcPr>
            <w:tcW w:w="986" w:type="dxa"/>
          </w:tcPr>
          <w:p w:rsidR="00B1455B" w:rsidRDefault="00B1455B">
            <w:pPr>
              <w:keepNext/>
              <w:widowControl w:val="0"/>
              <w:ind w:left="360"/>
              <w:jc w:val="center"/>
              <w:outlineLvl w:val="1"/>
              <w:rPr>
                <w:b/>
                <w:bCs/>
              </w:rPr>
            </w:pPr>
          </w:p>
        </w:tc>
      </w:tr>
      <w:tr w:rsidR="00B1455B">
        <w:tc>
          <w:tcPr>
            <w:tcW w:w="8217" w:type="dxa"/>
          </w:tcPr>
          <w:p w:rsidR="00B1455B" w:rsidRDefault="009E3CD9">
            <w:pPr>
              <w:widowControl w:val="0"/>
              <w:jc w:val="both"/>
            </w:pPr>
            <w:r>
              <w:t>Il suddetto servizio dovrà essere effettuato nelle città di Vercelli, Novara e Alessandria. L’Aggiudicatario individua una agenzia in ciascuna delle città in cui deve essere effettuato il servizio.</w:t>
            </w:r>
          </w:p>
        </w:tc>
        <w:tc>
          <w:tcPr>
            <w:tcW w:w="992" w:type="dxa"/>
          </w:tcPr>
          <w:p w:rsidR="00B1455B" w:rsidRDefault="00B1455B">
            <w:pPr>
              <w:widowControl w:val="0"/>
              <w:ind w:left="360"/>
              <w:jc w:val="both"/>
            </w:pPr>
          </w:p>
        </w:tc>
        <w:tc>
          <w:tcPr>
            <w:tcW w:w="986" w:type="dxa"/>
          </w:tcPr>
          <w:p w:rsidR="00B1455B" w:rsidRDefault="00B1455B">
            <w:pPr>
              <w:widowControl w:val="0"/>
              <w:ind w:left="360"/>
              <w:jc w:val="both"/>
            </w:pPr>
          </w:p>
        </w:tc>
      </w:tr>
      <w:tr w:rsidR="00B1455B">
        <w:tc>
          <w:tcPr>
            <w:tcW w:w="8217" w:type="dxa"/>
          </w:tcPr>
          <w:p w:rsidR="00B1455B" w:rsidRDefault="009E3CD9">
            <w:pPr>
              <w:keepNext/>
              <w:widowControl w:val="0"/>
              <w:outlineLvl w:val="2"/>
              <w:rPr>
                <w:b/>
                <w:bCs/>
              </w:rPr>
            </w:pPr>
            <w:r>
              <w:rPr>
                <w:b/>
                <w:bCs/>
              </w:rPr>
              <w:t>Art. 2 – SERVIZIO DI CASSA</w:t>
            </w:r>
          </w:p>
        </w:tc>
        <w:tc>
          <w:tcPr>
            <w:tcW w:w="992" w:type="dxa"/>
          </w:tcPr>
          <w:p w:rsidR="00B1455B" w:rsidRDefault="00B1455B">
            <w:pPr>
              <w:keepNext/>
              <w:widowControl w:val="0"/>
              <w:ind w:left="360"/>
              <w:jc w:val="center"/>
              <w:outlineLvl w:val="2"/>
              <w:rPr>
                <w:b/>
                <w:bCs/>
              </w:rPr>
            </w:pPr>
          </w:p>
        </w:tc>
        <w:tc>
          <w:tcPr>
            <w:tcW w:w="986" w:type="dxa"/>
          </w:tcPr>
          <w:p w:rsidR="00B1455B" w:rsidRDefault="00B1455B">
            <w:pPr>
              <w:keepNext/>
              <w:widowControl w:val="0"/>
              <w:ind w:left="360"/>
              <w:jc w:val="center"/>
              <w:outlineLvl w:val="2"/>
              <w:rPr>
                <w:b/>
                <w:bCs/>
              </w:rPr>
            </w:pPr>
          </w:p>
        </w:tc>
      </w:tr>
      <w:tr w:rsidR="00B1455B">
        <w:tc>
          <w:tcPr>
            <w:tcW w:w="8217" w:type="dxa"/>
          </w:tcPr>
          <w:p w:rsidR="00B1455B" w:rsidRDefault="009E3CD9">
            <w:pPr>
              <w:widowControl w:val="0"/>
              <w:jc w:val="both"/>
            </w:pPr>
            <w:r>
              <w:t xml:space="preserve">Il servizio di cassa dovrà essere reso operativo dal </w:t>
            </w:r>
            <w:proofErr w:type="gramStart"/>
            <w:r>
              <w:t>1 gennaio</w:t>
            </w:r>
            <w:proofErr w:type="gramEnd"/>
            <w:r>
              <w:t xml:space="preserve"> 2024 e deve essere adeguato al sistema </w:t>
            </w:r>
            <w:proofErr w:type="spellStart"/>
            <w:r>
              <w:t>Siope</w:t>
            </w:r>
            <w:proofErr w:type="spellEnd"/>
            <w:r>
              <w:t xml:space="preserve"> + per la trasmissione dei flussi tra Piattaforma </w:t>
            </w:r>
            <w:proofErr w:type="spellStart"/>
            <w:r>
              <w:t>Siope</w:t>
            </w:r>
            <w:proofErr w:type="spellEnd"/>
            <w:r>
              <w:t xml:space="preserve"> + e Banca Tesoriera, ai sensi del Decreto del Ministero dell’Economia e delle Finanze del 30/05/2018, delle Linee Guida e delle Regole Tecniche emanate dalla Ragioneria Generale dello Stato, da Banca d’Italia e da </w:t>
            </w:r>
            <w:proofErr w:type="spellStart"/>
            <w:r>
              <w:t>AgID</w:t>
            </w:r>
            <w:proofErr w:type="spellEnd"/>
            <w:r>
              <w:t xml:space="preserve">. </w:t>
            </w:r>
          </w:p>
        </w:tc>
        <w:tc>
          <w:tcPr>
            <w:tcW w:w="992" w:type="dxa"/>
          </w:tcPr>
          <w:p w:rsidR="00B1455B" w:rsidRDefault="00B1455B">
            <w:pPr>
              <w:widowControl w:val="0"/>
              <w:ind w:left="360"/>
              <w:jc w:val="both"/>
            </w:pPr>
          </w:p>
        </w:tc>
        <w:tc>
          <w:tcPr>
            <w:tcW w:w="986" w:type="dxa"/>
          </w:tcPr>
          <w:p w:rsidR="00B1455B" w:rsidRDefault="00B1455B">
            <w:pPr>
              <w:widowControl w:val="0"/>
              <w:ind w:left="360"/>
              <w:jc w:val="both"/>
            </w:pPr>
          </w:p>
        </w:tc>
      </w:tr>
      <w:tr w:rsidR="00B1455B">
        <w:tc>
          <w:tcPr>
            <w:tcW w:w="8217" w:type="dxa"/>
          </w:tcPr>
          <w:p w:rsidR="00B1455B" w:rsidRDefault="009E3CD9">
            <w:pPr>
              <w:widowControl w:val="0"/>
              <w:rPr>
                <w:b/>
              </w:rPr>
            </w:pPr>
            <w:r>
              <w:rPr>
                <w:b/>
              </w:rPr>
              <w:t>Art. 3 – INTERMEDIAZIONE TECNOLOGICA AL SISTEMA PAGOPA</w:t>
            </w:r>
          </w:p>
        </w:tc>
        <w:tc>
          <w:tcPr>
            <w:tcW w:w="992" w:type="dxa"/>
          </w:tcPr>
          <w:p w:rsidR="00B1455B" w:rsidRDefault="00B1455B">
            <w:pPr>
              <w:widowControl w:val="0"/>
              <w:ind w:left="360"/>
              <w:jc w:val="center"/>
              <w:rPr>
                <w:b/>
              </w:rPr>
            </w:pPr>
          </w:p>
        </w:tc>
        <w:tc>
          <w:tcPr>
            <w:tcW w:w="986" w:type="dxa"/>
          </w:tcPr>
          <w:p w:rsidR="00B1455B" w:rsidRDefault="00B1455B">
            <w:pPr>
              <w:widowControl w:val="0"/>
              <w:ind w:left="360"/>
              <w:jc w:val="center"/>
              <w:rPr>
                <w:b/>
              </w:rPr>
            </w:pPr>
          </w:p>
        </w:tc>
      </w:tr>
      <w:tr w:rsidR="00B1455B">
        <w:tc>
          <w:tcPr>
            <w:tcW w:w="8217" w:type="dxa"/>
          </w:tcPr>
          <w:p w:rsidR="00B1455B" w:rsidRDefault="009E3CD9">
            <w:pPr>
              <w:widowControl w:val="0"/>
              <w:jc w:val="both"/>
            </w:pPr>
            <w:r>
              <w:t>L’Aggiudicatario si impegna a:</w:t>
            </w:r>
          </w:p>
        </w:tc>
        <w:tc>
          <w:tcPr>
            <w:tcW w:w="992" w:type="dxa"/>
          </w:tcPr>
          <w:p w:rsidR="00B1455B" w:rsidRDefault="00B1455B">
            <w:pPr>
              <w:widowControl w:val="0"/>
              <w:ind w:left="360"/>
              <w:jc w:val="both"/>
            </w:pPr>
          </w:p>
        </w:tc>
        <w:tc>
          <w:tcPr>
            <w:tcW w:w="986" w:type="dxa"/>
          </w:tcPr>
          <w:p w:rsidR="00B1455B" w:rsidRDefault="00B1455B">
            <w:pPr>
              <w:widowControl w:val="0"/>
              <w:ind w:left="360"/>
              <w:jc w:val="both"/>
            </w:pPr>
          </w:p>
        </w:tc>
      </w:tr>
      <w:tr w:rsidR="00B1455B">
        <w:tc>
          <w:tcPr>
            <w:tcW w:w="8217" w:type="dxa"/>
          </w:tcPr>
          <w:p w:rsidR="00B1455B" w:rsidRDefault="009E3CD9">
            <w:pPr>
              <w:widowControl w:val="0"/>
              <w:numPr>
                <w:ilvl w:val="0"/>
                <w:numId w:val="5"/>
              </w:numPr>
              <w:jc w:val="both"/>
            </w:pPr>
            <w:r>
              <w:t>fornire all’Ateneo, in qualità di Partner Tecnologico, i servizi di interconnessione al Nodo dei Pagamenti con modalità indiretta (utilizzando una porta di dominio equivalente per l’accesso a Sistema Pubblico di Connettività – SPC) secondo quanto previsto dalle specifiche attuative emanate dall’</w:t>
            </w:r>
            <w:proofErr w:type="spellStart"/>
            <w:r>
              <w:t>Agid</w:t>
            </w:r>
            <w:proofErr w:type="spellEnd"/>
            <w:r>
              <w:t>;</w:t>
            </w:r>
          </w:p>
        </w:tc>
        <w:tc>
          <w:tcPr>
            <w:tcW w:w="992" w:type="dxa"/>
          </w:tcPr>
          <w:p w:rsidR="00B1455B" w:rsidRDefault="00B1455B">
            <w:pPr>
              <w:widowControl w:val="0"/>
              <w:ind w:left="360"/>
              <w:jc w:val="both"/>
            </w:pPr>
          </w:p>
        </w:tc>
        <w:tc>
          <w:tcPr>
            <w:tcW w:w="986" w:type="dxa"/>
          </w:tcPr>
          <w:p w:rsidR="00B1455B" w:rsidRDefault="00B1455B">
            <w:pPr>
              <w:widowControl w:val="0"/>
              <w:ind w:left="360"/>
              <w:jc w:val="both"/>
            </w:pPr>
          </w:p>
        </w:tc>
      </w:tr>
      <w:tr w:rsidR="00B1455B">
        <w:tc>
          <w:tcPr>
            <w:tcW w:w="8217" w:type="dxa"/>
          </w:tcPr>
          <w:p w:rsidR="00B1455B" w:rsidRDefault="009E3CD9">
            <w:pPr>
              <w:widowControl w:val="0"/>
              <w:numPr>
                <w:ilvl w:val="0"/>
                <w:numId w:val="5"/>
              </w:numPr>
              <w:jc w:val="both"/>
              <w:rPr>
                <w:rFonts w:ascii="Arial" w:hAnsi="Arial" w:cs="Arial"/>
                <w:sz w:val="23"/>
                <w:szCs w:val="23"/>
              </w:rPr>
            </w:pPr>
            <w:r>
              <w:t xml:space="preserve">generare gli IUV e fornire il necessario supporto all’Ateneo, nel processo di adeguamento al Sistema </w:t>
            </w:r>
            <w:proofErr w:type="spellStart"/>
            <w:r>
              <w:t>PagoPa</w:t>
            </w:r>
            <w:proofErr w:type="spellEnd"/>
            <w:r>
              <w:t>;</w:t>
            </w:r>
          </w:p>
        </w:tc>
        <w:tc>
          <w:tcPr>
            <w:tcW w:w="992" w:type="dxa"/>
          </w:tcPr>
          <w:p w:rsidR="00B1455B" w:rsidRDefault="00B1455B">
            <w:pPr>
              <w:widowControl w:val="0"/>
              <w:ind w:left="360"/>
              <w:jc w:val="both"/>
            </w:pPr>
          </w:p>
        </w:tc>
        <w:tc>
          <w:tcPr>
            <w:tcW w:w="986" w:type="dxa"/>
          </w:tcPr>
          <w:p w:rsidR="00B1455B" w:rsidRDefault="00B1455B">
            <w:pPr>
              <w:widowControl w:val="0"/>
              <w:ind w:left="360"/>
              <w:jc w:val="both"/>
            </w:pPr>
          </w:p>
        </w:tc>
      </w:tr>
      <w:tr w:rsidR="00B1455B">
        <w:tc>
          <w:tcPr>
            <w:tcW w:w="8217" w:type="dxa"/>
          </w:tcPr>
          <w:p w:rsidR="00B1455B" w:rsidRDefault="009E3CD9">
            <w:pPr>
              <w:widowControl w:val="0"/>
              <w:numPr>
                <w:ilvl w:val="0"/>
                <w:numId w:val="5"/>
              </w:numPr>
              <w:jc w:val="both"/>
              <w:rPr>
                <w:rFonts w:ascii="Arial" w:hAnsi="Arial" w:cs="Arial"/>
                <w:sz w:val="23"/>
                <w:szCs w:val="23"/>
              </w:rPr>
            </w:pPr>
            <w:r>
              <w:t xml:space="preserve">garantire la piena funzionalità, come partner tecnologico, dei modelli 1 e 3 di pagamento previsti da </w:t>
            </w:r>
            <w:proofErr w:type="spellStart"/>
            <w:r>
              <w:t>Agid</w:t>
            </w:r>
            <w:proofErr w:type="spellEnd"/>
            <w:r>
              <w:t>;</w:t>
            </w:r>
          </w:p>
        </w:tc>
        <w:tc>
          <w:tcPr>
            <w:tcW w:w="992" w:type="dxa"/>
          </w:tcPr>
          <w:p w:rsidR="00B1455B" w:rsidRDefault="00B1455B">
            <w:pPr>
              <w:widowControl w:val="0"/>
              <w:ind w:left="360"/>
              <w:jc w:val="both"/>
            </w:pPr>
          </w:p>
        </w:tc>
        <w:tc>
          <w:tcPr>
            <w:tcW w:w="986" w:type="dxa"/>
          </w:tcPr>
          <w:p w:rsidR="00B1455B" w:rsidRDefault="00B1455B">
            <w:pPr>
              <w:widowControl w:val="0"/>
              <w:ind w:left="360"/>
              <w:jc w:val="both"/>
            </w:pPr>
          </w:p>
        </w:tc>
      </w:tr>
      <w:tr w:rsidR="00B1455B">
        <w:tc>
          <w:tcPr>
            <w:tcW w:w="8217" w:type="dxa"/>
          </w:tcPr>
          <w:p w:rsidR="00B1455B" w:rsidRDefault="009E3CD9">
            <w:pPr>
              <w:widowControl w:val="0"/>
              <w:numPr>
                <w:ilvl w:val="0"/>
                <w:numId w:val="5"/>
              </w:numPr>
              <w:jc w:val="both"/>
              <w:rPr>
                <w:rFonts w:ascii="Arial" w:hAnsi="Arial" w:cs="Arial"/>
                <w:sz w:val="23"/>
                <w:szCs w:val="23"/>
              </w:rPr>
            </w:pPr>
            <w:r>
              <w:t xml:space="preserve">garantire la piena funzionalità, come PSP, del modello 3 di pagamento previsti da </w:t>
            </w:r>
            <w:proofErr w:type="spellStart"/>
            <w:r>
              <w:t>Agid</w:t>
            </w:r>
            <w:proofErr w:type="spellEnd"/>
            <w:r>
              <w:t>;</w:t>
            </w:r>
          </w:p>
        </w:tc>
        <w:tc>
          <w:tcPr>
            <w:tcW w:w="992" w:type="dxa"/>
          </w:tcPr>
          <w:p w:rsidR="00B1455B" w:rsidRDefault="00B1455B">
            <w:pPr>
              <w:widowControl w:val="0"/>
              <w:ind w:left="360"/>
              <w:jc w:val="both"/>
            </w:pPr>
          </w:p>
        </w:tc>
        <w:tc>
          <w:tcPr>
            <w:tcW w:w="986" w:type="dxa"/>
          </w:tcPr>
          <w:p w:rsidR="00B1455B" w:rsidRDefault="00B1455B">
            <w:pPr>
              <w:widowControl w:val="0"/>
              <w:ind w:left="360"/>
              <w:jc w:val="both"/>
            </w:pPr>
          </w:p>
        </w:tc>
      </w:tr>
      <w:tr w:rsidR="00B1455B">
        <w:tc>
          <w:tcPr>
            <w:tcW w:w="8217" w:type="dxa"/>
          </w:tcPr>
          <w:p w:rsidR="00B1455B" w:rsidRDefault="009E3CD9">
            <w:pPr>
              <w:widowControl w:val="0"/>
              <w:numPr>
                <w:ilvl w:val="0"/>
                <w:numId w:val="5"/>
              </w:numPr>
              <w:jc w:val="both"/>
            </w:pPr>
            <w:r>
              <w:t>consentire, come PSP, il pagamento di posizioni debitorie preesistenti verso l’Ateneo, tramite sportello fisico, oppure on line o tramite ATM presenti nelle città di Alessandria, Novara e Vercelli, anche da parte di utenti che non sono titolari di alcun rapporto contrattuale con l’Aggiudicatario (es. non hanno un conto corrente acceso preso l’aggiudicatario).</w:t>
            </w:r>
          </w:p>
        </w:tc>
        <w:tc>
          <w:tcPr>
            <w:tcW w:w="992" w:type="dxa"/>
          </w:tcPr>
          <w:p w:rsidR="00B1455B" w:rsidRDefault="00B1455B">
            <w:pPr>
              <w:widowControl w:val="0"/>
              <w:ind w:left="360"/>
              <w:jc w:val="both"/>
            </w:pPr>
          </w:p>
        </w:tc>
        <w:tc>
          <w:tcPr>
            <w:tcW w:w="986" w:type="dxa"/>
          </w:tcPr>
          <w:p w:rsidR="00B1455B" w:rsidRDefault="00B1455B">
            <w:pPr>
              <w:widowControl w:val="0"/>
              <w:ind w:left="360"/>
              <w:jc w:val="both"/>
            </w:pPr>
          </w:p>
        </w:tc>
      </w:tr>
      <w:tr w:rsidR="00B1455B">
        <w:tc>
          <w:tcPr>
            <w:tcW w:w="8217" w:type="dxa"/>
          </w:tcPr>
          <w:p w:rsidR="00B1455B" w:rsidRDefault="009E3CD9">
            <w:pPr>
              <w:widowControl w:val="0"/>
              <w:numPr>
                <w:ilvl w:val="0"/>
                <w:numId w:val="5"/>
              </w:numPr>
              <w:jc w:val="both"/>
              <w:rPr>
                <w:rFonts w:ascii="Arial" w:hAnsi="Arial" w:cs="Arial"/>
                <w:sz w:val="23"/>
                <w:szCs w:val="23"/>
              </w:rPr>
            </w:pPr>
            <w:r>
              <w:t xml:space="preserve">effettuare, per ogni provvisorio di entrata relativo agli introiti sull’IBAN del sistema </w:t>
            </w:r>
            <w:proofErr w:type="spellStart"/>
            <w:r>
              <w:t>PagoPa</w:t>
            </w:r>
            <w:proofErr w:type="spellEnd"/>
            <w:r>
              <w:t xml:space="preserve">, la rendicontazione degli </w:t>
            </w:r>
            <w:proofErr w:type="spellStart"/>
            <w:r>
              <w:t>Iuv</w:t>
            </w:r>
            <w:proofErr w:type="spellEnd"/>
            <w:r>
              <w:t xml:space="preserve"> incassati, completa di IUV, Codice Bollettino univoco e codice fiscale;</w:t>
            </w:r>
          </w:p>
        </w:tc>
        <w:tc>
          <w:tcPr>
            <w:tcW w:w="992" w:type="dxa"/>
          </w:tcPr>
          <w:p w:rsidR="00B1455B" w:rsidRDefault="00B1455B">
            <w:pPr>
              <w:widowControl w:val="0"/>
              <w:ind w:left="360"/>
              <w:jc w:val="both"/>
            </w:pPr>
          </w:p>
        </w:tc>
        <w:tc>
          <w:tcPr>
            <w:tcW w:w="986" w:type="dxa"/>
          </w:tcPr>
          <w:p w:rsidR="00B1455B" w:rsidRDefault="00B1455B">
            <w:pPr>
              <w:widowControl w:val="0"/>
              <w:ind w:left="360"/>
              <w:jc w:val="both"/>
            </w:pPr>
          </w:p>
        </w:tc>
      </w:tr>
      <w:tr w:rsidR="00B1455B">
        <w:tc>
          <w:tcPr>
            <w:tcW w:w="8217" w:type="dxa"/>
          </w:tcPr>
          <w:p w:rsidR="00B1455B" w:rsidRDefault="009E3CD9">
            <w:pPr>
              <w:widowControl w:val="0"/>
              <w:numPr>
                <w:ilvl w:val="0"/>
                <w:numId w:val="5"/>
              </w:numPr>
              <w:jc w:val="both"/>
              <w:rPr>
                <w:rFonts w:ascii="Arial" w:hAnsi="Arial" w:cs="Arial"/>
                <w:sz w:val="23"/>
                <w:szCs w:val="23"/>
              </w:rPr>
            </w:pPr>
            <w:r>
              <w:t>garantire l’interfacciamento e lo scambio di flussi tra i propri sistemi e il sistema informativo in uso presso l’Ateneo per la gestione della contabilità (Easy), secondo lo schema illustrato nell’allegato 1, al fine di consentire:</w:t>
            </w:r>
          </w:p>
        </w:tc>
        <w:tc>
          <w:tcPr>
            <w:tcW w:w="992" w:type="dxa"/>
          </w:tcPr>
          <w:p w:rsidR="00B1455B" w:rsidRDefault="00B1455B">
            <w:pPr>
              <w:widowControl w:val="0"/>
              <w:ind w:left="360"/>
              <w:jc w:val="both"/>
            </w:pPr>
          </w:p>
        </w:tc>
        <w:tc>
          <w:tcPr>
            <w:tcW w:w="986" w:type="dxa"/>
          </w:tcPr>
          <w:p w:rsidR="00B1455B" w:rsidRDefault="00B1455B">
            <w:pPr>
              <w:widowControl w:val="0"/>
              <w:ind w:left="360"/>
              <w:jc w:val="both"/>
            </w:pPr>
          </w:p>
        </w:tc>
      </w:tr>
      <w:tr w:rsidR="00B1455B">
        <w:tc>
          <w:tcPr>
            <w:tcW w:w="8217" w:type="dxa"/>
          </w:tcPr>
          <w:p w:rsidR="00B1455B" w:rsidRDefault="009E3CD9">
            <w:pPr>
              <w:widowControl w:val="0"/>
              <w:numPr>
                <w:ilvl w:val="1"/>
                <w:numId w:val="5"/>
              </w:numPr>
              <w:jc w:val="both"/>
              <w:rPr>
                <w:rFonts w:ascii="Arial" w:hAnsi="Arial" w:cs="Arial"/>
                <w:sz w:val="23"/>
                <w:szCs w:val="23"/>
              </w:rPr>
            </w:pPr>
            <w:r>
              <w:t xml:space="preserve">la trasmissione automatizzata </w:t>
            </w:r>
            <w:r>
              <w:rPr>
                <w:u w:val="single"/>
              </w:rPr>
              <w:t>in tempo reale</w:t>
            </w:r>
            <w:r>
              <w:t xml:space="preserve"> tramite web service, dal sistema informativo dell’Ateneo al sistema dell’Aggiudicatario, dei dati da esporre </w:t>
            </w:r>
            <w:r>
              <w:lastRenderedPageBreak/>
              <w:t>al Nodo dei Pagamenti, e dal sistema dell’Aggiudicatario al sistema dell’Ateneo, degli Identificativi Univoci di Versamento;</w:t>
            </w:r>
          </w:p>
        </w:tc>
        <w:tc>
          <w:tcPr>
            <w:tcW w:w="992" w:type="dxa"/>
          </w:tcPr>
          <w:p w:rsidR="00B1455B" w:rsidRDefault="00B1455B">
            <w:pPr>
              <w:widowControl w:val="0"/>
              <w:ind w:left="1080"/>
              <w:jc w:val="both"/>
            </w:pPr>
          </w:p>
        </w:tc>
        <w:tc>
          <w:tcPr>
            <w:tcW w:w="986" w:type="dxa"/>
          </w:tcPr>
          <w:p w:rsidR="00B1455B" w:rsidRDefault="00B1455B">
            <w:pPr>
              <w:widowControl w:val="0"/>
              <w:ind w:left="1080"/>
              <w:jc w:val="both"/>
            </w:pPr>
          </w:p>
        </w:tc>
      </w:tr>
      <w:tr w:rsidR="00B1455B">
        <w:tc>
          <w:tcPr>
            <w:tcW w:w="8217" w:type="dxa"/>
          </w:tcPr>
          <w:p w:rsidR="00B1455B" w:rsidRDefault="009E3CD9">
            <w:pPr>
              <w:widowControl w:val="0"/>
              <w:numPr>
                <w:ilvl w:val="1"/>
                <w:numId w:val="5"/>
              </w:numPr>
              <w:jc w:val="both"/>
            </w:pPr>
            <w:r>
              <w:t>la trasmissione automatizzata (web service/SFTP/FTP) del file di rendicontazione degli IUV, di cui al precedente punto 4) con l’indicazione del numero di Provvisorio di Entrata al quale si riferiscono;</w:t>
            </w:r>
          </w:p>
        </w:tc>
        <w:tc>
          <w:tcPr>
            <w:tcW w:w="992" w:type="dxa"/>
          </w:tcPr>
          <w:p w:rsidR="00B1455B" w:rsidRDefault="00B1455B">
            <w:pPr>
              <w:widowControl w:val="0"/>
              <w:ind w:left="1080"/>
              <w:jc w:val="both"/>
            </w:pPr>
          </w:p>
        </w:tc>
        <w:tc>
          <w:tcPr>
            <w:tcW w:w="986" w:type="dxa"/>
          </w:tcPr>
          <w:p w:rsidR="00B1455B" w:rsidRDefault="00B1455B">
            <w:pPr>
              <w:widowControl w:val="0"/>
              <w:ind w:left="1080"/>
              <w:jc w:val="both"/>
            </w:pPr>
          </w:p>
        </w:tc>
      </w:tr>
      <w:tr w:rsidR="00B1455B">
        <w:tc>
          <w:tcPr>
            <w:tcW w:w="8217" w:type="dxa"/>
          </w:tcPr>
          <w:p w:rsidR="00B1455B" w:rsidRDefault="009E3CD9">
            <w:pPr>
              <w:widowControl w:val="0"/>
              <w:numPr>
                <w:ilvl w:val="1"/>
                <w:numId w:val="5"/>
              </w:numPr>
              <w:jc w:val="both"/>
            </w:pPr>
            <w:r>
              <w:t xml:space="preserve">la trasmissione automatizzata degli </w:t>
            </w:r>
            <w:proofErr w:type="spellStart"/>
            <w:r>
              <w:t>Iuv</w:t>
            </w:r>
            <w:proofErr w:type="spellEnd"/>
            <w:r>
              <w:t xml:space="preserve"> annullati (web service/SFTP/FTP).</w:t>
            </w:r>
          </w:p>
        </w:tc>
        <w:tc>
          <w:tcPr>
            <w:tcW w:w="992" w:type="dxa"/>
          </w:tcPr>
          <w:p w:rsidR="00B1455B" w:rsidRDefault="00B1455B">
            <w:pPr>
              <w:widowControl w:val="0"/>
              <w:ind w:left="1080"/>
              <w:jc w:val="both"/>
            </w:pPr>
          </w:p>
        </w:tc>
        <w:tc>
          <w:tcPr>
            <w:tcW w:w="986" w:type="dxa"/>
          </w:tcPr>
          <w:p w:rsidR="00B1455B" w:rsidRDefault="00B1455B">
            <w:pPr>
              <w:widowControl w:val="0"/>
              <w:ind w:left="1080"/>
              <w:jc w:val="both"/>
            </w:pPr>
          </w:p>
        </w:tc>
      </w:tr>
      <w:tr w:rsidR="00B1455B">
        <w:tc>
          <w:tcPr>
            <w:tcW w:w="8217" w:type="dxa"/>
          </w:tcPr>
          <w:p w:rsidR="00B1455B" w:rsidRDefault="009E3CD9">
            <w:pPr>
              <w:widowControl w:val="0"/>
              <w:numPr>
                <w:ilvl w:val="0"/>
                <w:numId w:val="5"/>
              </w:numPr>
              <w:jc w:val="both"/>
              <w:rPr>
                <w:rFonts w:ascii="Arial" w:hAnsi="Arial" w:cs="Arial"/>
                <w:sz w:val="23"/>
                <w:szCs w:val="23"/>
              </w:rPr>
            </w:pPr>
            <w:r>
              <w:t>garantire l’interfacciamento e lo scambio di flussi tra i propri sistemi e il sistema informativo in uso presso l’Ateneo per la gestione della contribuzione studentesca (CINECA), secondo quanto illustrato negli allegati 1 e 2 al fine di consentire:</w:t>
            </w:r>
          </w:p>
        </w:tc>
        <w:tc>
          <w:tcPr>
            <w:tcW w:w="992" w:type="dxa"/>
          </w:tcPr>
          <w:p w:rsidR="00B1455B" w:rsidRDefault="00B1455B">
            <w:pPr>
              <w:widowControl w:val="0"/>
              <w:ind w:left="360"/>
              <w:jc w:val="both"/>
            </w:pPr>
          </w:p>
        </w:tc>
        <w:tc>
          <w:tcPr>
            <w:tcW w:w="986" w:type="dxa"/>
          </w:tcPr>
          <w:p w:rsidR="00B1455B" w:rsidRDefault="00B1455B">
            <w:pPr>
              <w:widowControl w:val="0"/>
              <w:ind w:left="360"/>
              <w:jc w:val="both"/>
            </w:pPr>
          </w:p>
        </w:tc>
      </w:tr>
      <w:tr w:rsidR="00B1455B">
        <w:tc>
          <w:tcPr>
            <w:tcW w:w="8217" w:type="dxa"/>
          </w:tcPr>
          <w:p w:rsidR="00B1455B" w:rsidRDefault="009E3CD9">
            <w:pPr>
              <w:widowControl w:val="0"/>
              <w:numPr>
                <w:ilvl w:val="1"/>
                <w:numId w:val="5"/>
              </w:numPr>
              <w:jc w:val="both"/>
              <w:rPr>
                <w:rFonts w:ascii="Arial" w:hAnsi="Arial" w:cs="Arial"/>
                <w:sz w:val="23"/>
                <w:szCs w:val="23"/>
              </w:rPr>
            </w:pPr>
            <w:r>
              <w:t xml:space="preserve">la trasmissione automatizzata in tempo reale dal sistema informativo dell’Ateneo al sistema dell’Aggiudicatario dei dati da esporre al Nodo dei Pagamenti, e dal sistema dell’Aggiudicatario al sistema dell’Ateneo degli Identificativi Univoci di Versamento della contribuzione studentesca; </w:t>
            </w:r>
          </w:p>
        </w:tc>
        <w:tc>
          <w:tcPr>
            <w:tcW w:w="992" w:type="dxa"/>
          </w:tcPr>
          <w:p w:rsidR="00B1455B" w:rsidRDefault="00B1455B">
            <w:pPr>
              <w:widowControl w:val="0"/>
              <w:ind w:left="1080"/>
              <w:jc w:val="both"/>
            </w:pPr>
          </w:p>
        </w:tc>
        <w:tc>
          <w:tcPr>
            <w:tcW w:w="986" w:type="dxa"/>
          </w:tcPr>
          <w:p w:rsidR="00B1455B" w:rsidRDefault="00B1455B">
            <w:pPr>
              <w:widowControl w:val="0"/>
              <w:ind w:left="1080"/>
              <w:jc w:val="both"/>
            </w:pPr>
          </w:p>
        </w:tc>
      </w:tr>
      <w:tr w:rsidR="00B1455B">
        <w:tc>
          <w:tcPr>
            <w:tcW w:w="8217" w:type="dxa"/>
          </w:tcPr>
          <w:p w:rsidR="00B1455B" w:rsidRDefault="009E3CD9">
            <w:pPr>
              <w:widowControl w:val="0"/>
              <w:numPr>
                <w:ilvl w:val="1"/>
                <w:numId w:val="5"/>
              </w:numPr>
              <w:jc w:val="both"/>
              <w:rPr>
                <w:rFonts w:ascii="Arial" w:hAnsi="Arial" w:cs="Arial"/>
                <w:sz w:val="23"/>
                <w:szCs w:val="23"/>
              </w:rPr>
            </w:pPr>
            <w:r>
              <w:t>la trasmissione automatizzata dal sistema informativo dell’Aggiudicatario al sistema informativo dell’Ateneo, delle rendicontazioni relative agli Identificativi Univoci di Versamento della contribuzione studentesca.</w:t>
            </w:r>
          </w:p>
        </w:tc>
        <w:tc>
          <w:tcPr>
            <w:tcW w:w="992" w:type="dxa"/>
          </w:tcPr>
          <w:p w:rsidR="00B1455B" w:rsidRDefault="00B1455B">
            <w:pPr>
              <w:widowControl w:val="0"/>
              <w:ind w:left="1080"/>
              <w:jc w:val="both"/>
            </w:pPr>
          </w:p>
        </w:tc>
        <w:tc>
          <w:tcPr>
            <w:tcW w:w="986" w:type="dxa"/>
          </w:tcPr>
          <w:p w:rsidR="00B1455B" w:rsidRDefault="00B1455B">
            <w:pPr>
              <w:widowControl w:val="0"/>
              <w:ind w:left="1080"/>
              <w:jc w:val="both"/>
            </w:pPr>
          </w:p>
        </w:tc>
      </w:tr>
      <w:tr w:rsidR="00B1455B">
        <w:tc>
          <w:tcPr>
            <w:tcW w:w="8217" w:type="dxa"/>
          </w:tcPr>
          <w:p w:rsidR="00B1455B" w:rsidRDefault="009E3CD9">
            <w:pPr>
              <w:widowControl w:val="0"/>
              <w:numPr>
                <w:ilvl w:val="1"/>
                <w:numId w:val="5"/>
              </w:numPr>
              <w:jc w:val="both"/>
            </w:pPr>
            <w:r>
              <w:t xml:space="preserve">la trasmissione automatizzata degli </w:t>
            </w:r>
            <w:proofErr w:type="spellStart"/>
            <w:r>
              <w:t>Iuv</w:t>
            </w:r>
            <w:proofErr w:type="spellEnd"/>
            <w:r>
              <w:t xml:space="preserve"> della contribuzione studentesca annullati.</w:t>
            </w:r>
          </w:p>
        </w:tc>
        <w:tc>
          <w:tcPr>
            <w:tcW w:w="992" w:type="dxa"/>
          </w:tcPr>
          <w:p w:rsidR="00B1455B" w:rsidRDefault="00B1455B">
            <w:pPr>
              <w:widowControl w:val="0"/>
              <w:ind w:left="1080"/>
              <w:jc w:val="both"/>
            </w:pPr>
          </w:p>
        </w:tc>
        <w:tc>
          <w:tcPr>
            <w:tcW w:w="986" w:type="dxa"/>
          </w:tcPr>
          <w:p w:rsidR="00B1455B" w:rsidRDefault="00B1455B">
            <w:pPr>
              <w:widowControl w:val="0"/>
              <w:ind w:left="1080"/>
              <w:jc w:val="both"/>
            </w:pPr>
          </w:p>
        </w:tc>
      </w:tr>
      <w:tr w:rsidR="00B1455B">
        <w:tc>
          <w:tcPr>
            <w:tcW w:w="8217" w:type="dxa"/>
          </w:tcPr>
          <w:p w:rsidR="00B1455B" w:rsidRDefault="009E3CD9">
            <w:pPr>
              <w:widowControl w:val="0"/>
              <w:numPr>
                <w:ilvl w:val="0"/>
                <w:numId w:val="5"/>
              </w:numPr>
              <w:jc w:val="both"/>
            </w:pPr>
            <w:r>
              <w:t>garantire l’interfacciamento e lo scambio di flussi tra i propri sistemi e eventuali altri sistemi informativi in uso presso l’Ateneo, secondo lo stesso modello illustrato ai punti precedenti (Integrazione con i software Easy e CINECA);</w:t>
            </w:r>
          </w:p>
        </w:tc>
        <w:tc>
          <w:tcPr>
            <w:tcW w:w="992" w:type="dxa"/>
          </w:tcPr>
          <w:p w:rsidR="00B1455B" w:rsidRDefault="00B1455B">
            <w:pPr>
              <w:widowControl w:val="0"/>
              <w:ind w:left="360"/>
              <w:jc w:val="both"/>
            </w:pPr>
          </w:p>
        </w:tc>
        <w:tc>
          <w:tcPr>
            <w:tcW w:w="986" w:type="dxa"/>
          </w:tcPr>
          <w:p w:rsidR="00B1455B" w:rsidRDefault="00B1455B">
            <w:pPr>
              <w:widowControl w:val="0"/>
              <w:ind w:left="360"/>
              <w:jc w:val="both"/>
            </w:pPr>
          </w:p>
        </w:tc>
      </w:tr>
      <w:tr w:rsidR="00B1455B">
        <w:tc>
          <w:tcPr>
            <w:tcW w:w="8217" w:type="dxa"/>
          </w:tcPr>
          <w:p w:rsidR="00B1455B" w:rsidRDefault="009E3CD9">
            <w:pPr>
              <w:widowControl w:val="0"/>
              <w:numPr>
                <w:ilvl w:val="0"/>
                <w:numId w:val="5"/>
              </w:numPr>
              <w:jc w:val="both"/>
            </w:pPr>
            <w:r>
              <w:t xml:space="preserve">garantire un servizio di </w:t>
            </w:r>
            <w:proofErr w:type="spellStart"/>
            <w:r>
              <w:t>Helpdesk</w:t>
            </w:r>
            <w:proofErr w:type="spellEnd"/>
            <w:r>
              <w:t xml:space="preserve"> Tecnico, assistenza e manutenzione</w:t>
            </w:r>
            <w:r>
              <w:rPr>
                <w:rFonts w:ascii="Verdana" w:hAnsi="Verdana"/>
                <w:shd w:val="clear" w:color="auto" w:fill="FFFFFF"/>
              </w:rPr>
              <w:t xml:space="preserve"> </w:t>
            </w:r>
            <w:r>
              <w:t>avente le seguenti caratteristiche:</w:t>
            </w:r>
          </w:p>
        </w:tc>
        <w:tc>
          <w:tcPr>
            <w:tcW w:w="992" w:type="dxa"/>
          </w:tcPr>
          <w:p w:rsidR="00B1455B" w:rsidRDefault="00B1455B">
            <w:pPr>
              <w:widowControl w:val="0"/>
              <w:ind w:left="360"/>
              <w:jc w:val="both"/>
            </w:pPr>
          </w:p>
        </w:tc>
        <w:tc>
          <w:tcPr>
            <w:tcW w:w="986" w:type="dxa"/>
          </w:tcPr>
          <w:p w:rsidR="00B1455B" w:rsidRDefault="00B1455B">
            <w:pPr>
              <w:widowControl w:val="0"/>
              <w:ind w:left="360"/>
              <w:jc w:val="both"/>
            </w:pPr>
          </w:p>
        </w:tc>
      </w:tr>
      <w:tr w:rsidR="00B1455B">
        <w:tc>
          <w:tcPr>
            <w:tcW w:w="8217" w:type="dxa"/>
          </w:tcPr>
          <w:p w:rsidR="00B1455B" w:rsidRDefault="009E3CD9">
            <w:pPr>
              <w:widowControl w:val="0"/>
              <w:numPr>
                <w:ilvl w:val="0"/>
                <w:numId w:val="6"/>
              </w:numPr>
              <w:tabs>
                <w:tab w:val="left" w:pos="826"/>
              </w:tabs>
              <w:ind w:left="840" w:hanging="420"/>
              <w:jc w:val="both"/>
            </w:pPr>
            <w:r>
              <w:t xml:space="preserve">Attivazione attraverso contatto web o telefonico o e-mail; </w:t>
            </w:r>
          </w:p>
        </w:tc>
        <w:tc>
          <w:tcPr>
            <w:tcW w:w="992" w:type="dxa"/>
          </w:tcPr>
          <w:p w:rsidR="00B1455B" w:rsidRDefault="00B1455B">
            <w:pPr>
              <w:widowControl w:val="0"/>
              <w:ind w:left="360"/>
              <w:jc w:val="both"/>
            </w:pPr>
          </w:p>
        </w:tc>
        <w:tc>
          <w:tcPr>
            <w:tcW w:w="986" w:type="dxa"/>
          </w:tcPr>
          <w:p w:rsidR="00B1455B" w:rsidRDefault="00B1455B">
            <w:pPr>
              <w:widowControl w:val="0"/>
              <w:ind w:left="360"/>
              <w:jc w:val="both"/>
            </w:pPr>
          </w:p>
        </w:tc>
      </w:tr>
      <w:tr w:rsidR="00B1455B">
        <w:tc>
          <w:tcPr>
            <w:tcW w:w="8217" w:type="dxa"/>
          </w:tcPr>
          <w:p w:rsidR="00B1455B" w:rsidRDefault="009E3CD9">
            <w:pPr>
              <w:widowControl w:val="0"/>
              <w:numPr>
                <w:ilvl w:val="0"/>
                <w:numId w:val="6"/>
              </w:numPr>
              <w:tabs>
                <w:tab w:val="left" w:pos="826"/>
              </w:tabs>
              <w:ind w:left="826" w:hanging="400"/>
              <w:jc w:val="both"/>
            </w:pPr>
            <w:r>
              <w:t>una volta individuata la soluzione ed effettuato l’intervento, il servizio di Help Desk provvede a notificare la risoluzione dell’intervento;</w:t>
            </w:r>
          </w:p>
        </w:tc>
        <w:tc>
          <w:tcPr>
            <w:tcW w:w="992" w:type="dxa"/>
          </w:tcPr>
          <w:p w:rsidR="00B1455B" w:rsidRDefault="00B1455B">
            <w:pPr>
              <w:widowControl w:val="0"/>
              <w:tabs>
                <w:tab w:val="left" w:pos="826"/>
              </w:tabs>
              <w:ind w:left="360"/>
              <w:jc w:val="both"/>
            </w:pPr>
          </w:p>
        </w:tc>
        <w:tc>
          <w:tcPr>
            <w:tcW w:w="986" w:type="dxa"/>
          </w:tcPr>
          <w:p w:rsidR="00B1455B" w:rsidRDefault="00B1455B">
            <w:pPr>
              <w:widowControl w:val="0"/>
              <w:tabs>
                <w:tab w:val="left" w:pos="826"/>
              </w:tabs>
              <w:ind w:left="360"/>
              <w:jc w:val="both"/>
            </w:pPr>
          </w:p>
        </w:tc>
      </w:tr>
      <w:tr w:rsidR="00B1455B">
        <w:tc>
          <w:tcPr>
            <w:tcW w:w="8217" w:type="dxa"/>
          </w:tcPr>
          <w:p w:rsidR="00B1455B" w:rsidRDefault="009E3CD9">
            <w:pPr>
              <w:widowControl w:val="0"/>
              <w:numPr>
                <w:ilvl w:val="0"/>
                <w:numId w:val="6"/>
              </w:numPr>
              <w:tabs>
                <w:tab w:val="left" w:pos="826"/>
              </w:tabs>
              <w:ind w:left="826" w:hanging="400"/>
              <w:jc w:val="both"/>
              <w:rPr>
                <w:rFonts w:ascii="Calibri" w:hAnsi="Calibri"/>
              </w:rPr>
            </w:pPr>
            <w:r>
              <w:t xml:space="preserve">il servizio di Help Desk dovrà essere disponibile dalle ore 09.00 alle ore 16.00 dal </w:t>
            </w:r>
            <w:proofErr w:type="gramStart"/>
            <w:r>
              <w:t>Lunedì</w:t>
            </w:r>
            <w:proofErr w:type="gramEnd"/>
            <w:r>
              <w:t xml:space="preserve"> al Venerdì esclusi i giorni festivi</w:t>
            </w:r>
            <w:r>
              <w:rPr>
                <w:rFonts w:ascii="Calibri" w:hAnsi="Calibri"/>
              </w:rPr>
              <w:t>;</w:t>
            </w:r>
          </w:p>
        </w:tc>
        <w:tc>
          <w:tcPr>
            <w:tcW w:w="992" w:type="dxa"/>
          </w:tcPr>
          <w:p w:rsidR="00B1455B" w:rsidRDefault="00B1455B">
            <w:pPr>
              <w:widowControl w:val="0"/>
              <w:tabs>
                <w:tab w:val="left" w:pos="826"/>
              </w:tabs>
              <w:ind w:left="360"/>
              <w:jc w:val="both"/>
            </w:pPr>
          </w:p>
        </w:tc>
        <w:tc>
          <w:tcPr>
            <w:tcW w:w="986" w:type="dxa"/>
          </w:tcPr>
          <w:p w:rsidR="00B1455B" w:rsidRDefault="00B1455B">
            <w:pPr>
              <w:widowControl w:val="0"/>
              <w:tabs>
                <w:tab w:val="left" w:pos="826"/>
              </w:tabs>
              <w:ind w:left="360"/>
              <w:jc w:val="both"/>
            </w:pPr>
          </w:p>
        </w:tc>
      </w:tr>
      <w:tr w:rsidR="00B1455B">
        <w:tc>
          <w:tcPr>
            <w:tcW w:w="8217" w:type="dxa"/>
          </w:tcPr>
          <w:p w:rsidR="00B1455B" w:rsidRDefault="009E3CD9">
            <w:pPr>
              <w:keepNext/>
              <w:widowControl w:val="0"/>
              <w:outlineLvl w:val="2"/>
              <w:rPr>
                <w:b/>
                <w:bCs/>
              </w:rPr>
            </w:pPr>
            <w:r>
              <w:rPr>
                <w:b/>
                <w:bCs/>
              </w:rPr>
              <w:t>Art. 4 – DISCIPLINA DELLE ENTRATE</w:t>
            </w:r>
          </w:p>
        </w:tc>
        <w:tc>
          <w:tcPr>
            <w:tcW w:w="992" w:type="dxa"/>
          </w:tcPr>
          <w:p w:rsidR="00B1455B" w:rsidRDefault="00B1455B">
            <w:pPr>
              <w:keepNext/>
              <w:widowControl w:val="0"/>
              <w:ind w:left="360"/>
              <w:jc w:val="center"/>
              <w:outlineLvl w:val="2"/>
              <w:rPr>
                <w:b/>
                <w:bCs/>
              </w:rPr>
            </w:pPr>
          </w:p>
        </w:tc>
        <w:tc>
          <w:tcPr>
            <w:tcW w:w="986" w:type="dxa"/>
          </w:tcPr>
          <w:p w:rsidR="00B1455B" w:rsidRDefault="00B1455B">
            <w:pPr>
              <w:keepNext/>
              <w:widowControl w:val="0"/>
              <w:ind w:left="360"/>
              <w:jc w:val="center"/>
              <w:outlineLvl w:val="2"/>
              <w:rPr>
                <w:b/>
                <w:bCs/>
              </w:rPr>
            </w:pPr>
          </w:p>
        </w:tc>
      </w:tr>
      <w:tr w:rsidR="00B1455B">
        <w:tc>
          <w:tcPr>
            <w:tcW w:w="8217" w:type="dxa"/>
          </w:tcPr>
          <w:p w:rsidR="00B1455B" w:rsidRDefault="009E3CD9">
            <w:pPr>
              <w:widowControl w:val="0"/>
              <w:jc w:val="both"/>
            </w:pPr>
            <w:r>
              <w:t xml:space="preserve">L’Aggiudicatario si impegna ad integrare o a interfacciare il proprio sistema informativo con il sistema informativo in uso presso l’Ateneo per la gestione della carriera degli studenti, al fine di generare gli </w:t>
            </w:r>
            <w:proofErr w:type="spellStart"/>
            <w:r>
              <w:t>Iuv</w:t>
            </w:r>
            <w:proofErr w:type="spellEnd"/>
            <w:r>
              <w:t xml:space="preserve"> e riversare </w:t>
            </w:r>
            <w:proofErr w:type="spellStart"/>
            <w:r>
              <w:t>Iuv</w:t>
            </w:r>
            <w:proofErr w:type="spellEnd"/>
            <w:r>
              <w:t xml:space="preserve"> e relativa rendicontazione nel sistema informativo di Ateneo per la gestione della carriera degli studenti.</w:t>
            </w:r>
          </w:p>
        </w:tc>
        <w:tc>
          <w:tcPr>
            <w:tcW w:w="992" w:type="dxa"/>
          </w:tcPr>
          <w:p w:rsidR="00B1455B" w:rsidRDefault="00B1455B">
            <w:pPr>
              <w:widowControl w:val="0"/>
              <w:ind w:left="360"/>
              <w:jc w:val="both"/>
              <w:rPr>
                <w:strike/>
              </w:rPr>
            </w:pPr>
          </w:p>
        </w:tc>
        <w:tc>
          <w:tcPr>
            <w:tcW w:w="986" w:type="dxa"/>
          </w:tcPr>
          <w:p w:rsidR="00B1455B" w:rsidRDefault="00B1455B">
            <w:pPr>
              <w:widowControl w:val="0"/>
              <w:ind w:left="360"/>
              <w:jc w:val="both"/>
              <w:rPr>
                <w:strike/>
              </w:rPr>
            </w:pPr>
          </w:p>
        </w:tc>
      </w:tr>
      <w:tr w:rsidR="00B1455B">
        <w:tc>
          <w:tcPr>
            <w:tcW w:w="8217" w:type="dxa"/>
          </w:tcPr>
          <w:p w:rsidR="00B1455B" w:rsidRDefault="009E3CD9">
            <w:pPr>
              <w:keepNext/>
              <w:widowControl w:val="0"/>
              <w:outlineLvl w:val="2"/>
              <w:rPr>
                <w:b/>
                <w:bCs/>
              </w:rPr>
            </w:pPr>
            <w:r>
              <w:rPr>
                <w:b/>
                <w:bCs/>
              </w:rPr>
              <w:t>Art. 5 – DISCIPLINA DELLE USCITE</w:t>
            </w:r>
          </w:p>
        </w:tc>
        <w:tc>
          <w:tcPr>
            <w:tcW w:w="992" w:type="dxa"/>
          </w:tcPr>
          <w:p w:rsidR="00B1455B" w:rsidRDefault="00B1455B">
            <w:pPr>
              <w:keepNext/>
              <w:widowControl w:val="0"/>
              <w:ind w:left="360"/>
              <w:jc w:val="center"/>
              <w:outlineLvl w:val="2"/>
              <w:rPr>
                <w:b/>
                <w:bCs/>
              </w:rPr>
            </w:pPr>
          </w:p>
        </w:tc>
        <w:tc>
          <w:tcPr>
            <w:tcW w:w="986" w:type="dxa"/>
          </w:tcPr>
          <w:p w:rsidR="00B1455B" w:rsidRDefault="00B1455B">
            <w:pPr>
              <w:keepNext/>
              <w:widowControl w:val="0"/>
              <w:ind w:left="360"/>
              <w:jc w:val="center"/>
              <w:outlineLvl w:val="2"/>
              <w:rPr>
                <w:b/>
                <w:bCs/>
              </w:rPr>
            </w:pPr>
          </w:p>
        </w:tc>
      </w:tr>
      <w:tr w:rsidR="00B1455B">
        <w:tc>
          <w:tcPr>
            <w:tcW w:w="8217" w:type="dxa"/>
          </w:tcPr>
          <w:p w:rsidR="00B1455B" w:rsidRDefault="009E3CD9">
            <w:pPr>
              <w:widowControl w:val="0"/>
              <w:jc w:val="both"/>
            </w:pPr>
            <w:r>
              <w:t>I pagamenti sono eseguiti dall’Aggiudicatario:</w:t>
            </w:r>
          </w:p>
        </w:tc>
        <w:tc>
          <w:tcPr>
            <w:tcW w:w="992" w:type="dxa"/>
          </w:tcPr>
          <w:p w:rsidR="00B1455B" w:rsidRDefault="00B1455B">
            <w:pPr>
              <w:widowControl w:val="0"/>
              <w:ind w:left="360"/>
              <w:jc w:val="both"/>
            </w:pPr>
          </w:p>
        </w:tc>
        <w:tc>
          <w:tcPr>
            <w:tcW w:w="986" w:type="dxa"/>
          </w:tcPr>
          <w:p w:rsidR="00B1455B" w:rsidRDefault="00B1455B">
            <w:pPr>
              <w:widowControl w:val="0"/>
              <w:ind w:left="360"/>
              <w:jc w:val="both"/>
            </w:pPr>
          </w:p>
        </w:tc>
      </w:tr>
      <w:tr w:rsidR="00B1455B">
        <w:tc>
          <w:tcPr>
            <w:tcW w:w="8217" w:type="dxa"/>
          </w:tcPr>
          <w:p w:rsidR="00B1455B" w:rsidRDefault="009E3CD9">
            <w:pPr>
              <w:widowControl w:val="0"/>
              <w:numPr>
                <w:ilvl w:val="0"/>
                <w:numId w:val="1"/>
              </w:numPr>
              <w:jc w:val="both"/>
            </w:pPr>
            <w:r>
              <w:t>mediante ordinativi di pagamento numerati in ordine progressivo per ciascun anno finanziario, firmati dai soggetti indicati nel Regolamento Contabile di Ateneo, ovvero dalle persone da essi delegate o che legittimamente li sostituiscono;</w:t>
            </w:r>
          </w:p>
        </w:tc>
        <w:tc>
          <w:tcPr>
            <w:tcW w:w="992" w:type="dxa"/>
          </w:tcPr>
          <w:p w:rsidR="00B1455B" w:rsidRDefault="00B1455B">
            <w:pPr>
              <w:widowControl w:val="0"/>
              <w:ind w:left="360"/>
              <w:jc w:val="both"/>
            </w:pPr>
          </w:p>
        </w:tc>
        <w:tc>
          <w:tcPr>
            <w:tcW w:w="986" w:type="dxa"/>
          </w:tcPr>
          <w:p w:rsidR="00B1455B" w:rsidRDefault="00B1455B">
            <w:pPr>
              <w:widowControl w:val="0"/>
              <w:ind w:left="360"/>
              <w:jc w:val="both"/>
            </w:pPr>
          </w:p>
        </w:tc>
      </w:tr>
      <w:tr w:rsidR="00B1455B">
        <w:tc>
          <w:tcPr>
            <w:tcW w:w="8217" w:type="dxa"/>
          </w:tcPr>
          <w:p w:rsidR="00B1455B" w:rsidRDefault="009E3CD9">
            <w:pPr>
              <w:widowControl w:val="0"/>
              <w:numPr>
                <w:ilvl w:val="0"/>
                <w:numId w:val="1"/>
              </w:numPr>
              <w:jc w:val="both"/>
            </w:pPr>
            <w:r>
              <w:t>con ruoli di spesa fissa;</w:t>
            </w:r>
          </w:p>
        </w:tc>
        <w:tc>
          <w:tcPr>
            <w:tcW w:w="992" w:type="dxa"/>
          </w:tcPr>
          <w:p w:rsidR="00B1455B" w:rsidRDefault="00B1455B">
            <w:pPr>
              <w:widowControl w:val="0"/>
              <w:ind w:left="360"/>
              <w:jc w:val="both"/>
            </w:pPr>
          </w:p>
        </w:tc>
        <w:tc>
          <w:tcPr>
            <w:tcW w:w="986" w:type="dxa"/>
          </w:tcPr>
          <w:p w:rsidR="00B1455B" w:rsidRDefault="00B1455B">
            <w:pPr>
              <w:widowControl w:val="0"/>
              <w:ind w:left="360"/>
              <w:jc w:val="both"/>
            </w:pPr>
          </w:p>
        </w:tc>
      </w:tr>
      <w:tr w:rsidR="00B1455B">
        <w:tc>
          <w:tcPr>
            <w:tcW w:w="8217" w:type="dxa"/>
          </w:tcPr>
          <w:p w:rsidR="00B1455B" w:rsidRDefault="009E3CD9">
            <w:pPr>
              <w:widowControl w:val="0"/>
              <w:numPr>
                <w:ilvl w:val="0"/>
                <w:numId w:val="1"/>
              </w:numPr>
              <w:jc w:val="both"/>
            </w:pPr>
            <w:r>
              <w:t>mediante domiciliazione di bollette, comunque nei limiti della disponibilità di cassa dell’Università.</w:t>
            </w:r>
          </w:p>
        </w:tc>
        <w:tc>
          <w:tcPr>
            <w:tcW w:w="992" w:type="dxa"/>
          </w:tcPr>
          <w:p w:rsidR="00B1455B" w:rsidRDefault="00B1455B">
            <w:pPr>
              <w:widowControl w:val="0"/>
              <w:ind w:left="360"/>
              <w:jc w:val="both"/>
            </w:pPr>
          </w:p>
        </w:tc>
        <w:tc>
          <w:tcPr>
            <w:tcW w:w="986" w:type="dxa"/>
          </w:tcPr>
          <w:p w:rsidR="00B1455B" w:rsidRDefault="00B1455B">
            <w:pPr>
              <w:widowControl w:val="0"/>
              <w:ind w:left="360"/>
              <w:jc w:val="both"/>
            </w:pPr>
          </w:p>
        </w:tc>
      </w:tr>
      <w:tr w:rsidR="00B1455B">
        <w:tc>
          <w:tcPr>
            <w:tcW w:w="8217" w:type="dxa"/>
          </w:tcPr>
          <w:p w:rsidR="00B1455B" w:rsidRDefault="009E3CD9">
            <w:pPr>
              <w:widowControl w:val="0"/>
              <w:jc w:val="both"/>
            </w:pPr>
            <w:r>
              <w:t>Gli ordinativi di pagamento sono ordinariamente estinti, nel rispetto della normativa vigente, con le seguenti modalità:</w:t>
            </w:r>
          </w:p>
        </w:tc>
        <w:tc>
          <w:tcPr>
            <w:tcW w:w="992" w:type="dxa"/>
          </w:tcPr>
          <w:p w:rsidR="00B1455B" w:rsidRDefault="00B1455B">
            <w:pPr>
              <w:widowControl w:val="0"/>
              <w:ind w:left="360"/>
              <w:jc w:val="both"/>
            </w:pPr>
          </w:p>
        </w:tc>
        <w:tc>
          <w:tcPr>
            <w:tcW w:w="986" w:type="dxa"/>
          </w:tcPr>
          <w:p w:rsidR="00B1455B" w:rsidRDefault="00B1455B">
            <w:pPr>
              <w:widowControl w:val="0"/>
              <w:ind w:left="360"/>
              <w:jc w:val="both"/>
            </w:pPr>
          </w:p>
        </w:tc>
      </w:tr>
      <w:tr w:rsidR="00B1455B">
        <w:tc>
          <w:tcPr>
            <w:tcW w:w="8217" w:type="dxa"/>
          </w:tcPr>
          <w:p w:rsidR="00B1455B" w:rsidRDefault="009E3CD9">
            <w:pPr>
              <w:widowControl w:val="0"/>
              <w:numPr>
                <w:ilvl w:val="0"/>
                <w:numId w:val="2"/>
              </w:numPr>
              <w:jc w:val="both"/>
            </w:pPr>
            <w:r>
              <w:t>accreditamento in conto corrente postale a favore del creditore;</w:t>
            </w:r>
          </w:p>
        </w:tc>
        <w:tc>
          <w:tcPr>
            <w:tcW w:w="992" w:type="dxa"/>
          </w:tcPr>
          <w:p w:rsidR="00B1455B" w:rsidRDefault="00B1455B">
            <w:pPr>
              <w:widowControl w:val="0"/>
              <w:ind w:left="360"/>
              <w:jc w:val="both"/>
            </w:pPr>
          </w:p>
        </w:tc>
        <w:tc>
          <w:tcPr>
            <w:tcW w:w="986" w:type="dxa"/>
          </w:tcPr>
          <w:p w:rsidR="00B1455B" w:rsidRDefault="00B1455B">
            <w:pPr>
              <w:widowControl w:val="0"/>
              <w:ind w:left="360"/>
              <w:jc w:val="both"/>
            </w:pPr>
          </w:p>
        </w:tc>
      </w:tr>
      <w:tr w:rsidR="00B1455B">
        <w:tc>
          <w:tcPr>
            <w:tcW w:w="8217" w:type="dxa"/>
          </w:tcPr>
          <w:p w:rsidR="00B1455B" w:rsidRDefault="009E3CD9">
            <w:pPr>
              <w:widowControl w:val="0"/>
              <w:numPr>
                <w:ilvl w:val="0"/>
                <w:numId w:val="2"/>
              </w:numPr>
              <w:jc w:val="both"/>
            </w:pPr>
            <w:r>
              <w:t>commutazione in assegno circolare non trasferibile all’ordine del creditore, da spedire a cura dell’Aggiudicatario all’indirizzo del medesimo;</w:t>
            </w:r>
          </w:p>
        </w:tc>
        <w:tc>
          <w:tcPr>
            <w:tcW w:w="992" w:type="dxa"/>
          </w:tcPr>
          <w:p w:rsidR="00B1455B" w:rsidRDefault="00B1455B">
            <w:pPr>
              <w:widowControl w:val="0"/>
              <w:ind w:left="360"/>
              <w:jc w:val="both"/>
            </w:pPr>
          </w:p>
        </w:tc>
        <w:tc>
          <w:tcPr>
            <w:tcW w:w="986" w:type="dxa"/>
          </w:tcPr>
          <w:p w:rsidR="00B1455B" w:rsidRDefault="00B1455B">
            <w:pPr>
              <w:widowControl w:val="0"/>
              <w:ind w:left="360"/>
              <w:jc w:val="both"/>
            </w:pPr>
          </w:p>
        </w:tc>
      </w:tr>
      <w:tr w:rsidR="00B1455B">
        <w:tc>
          <w:tcPr>
            <w:tcW w:w="8217" w:type="dxa"/>
          </w:tcPr>
          <w:p w:rsidR="00B1455B" w:rsidRDefault="009E3CD9">
            <w:pPr>
              <w:widowControl w:val="0"/>
              <w:numPr>
                <w:ilvl w:val="0"/>
                <w:numId w:val="2"/>
              </w:numPr>
              <w:jc w:val="both"/>
            </w:pPr>
            <w:r>
              <w:t>accreditamento in conto corrente bancario intestato al creditore;</w:t>
            </w:r>
          </w:p>
        </w:tc>
        <w:tc>
          <w:tcPr>
            <w:tcW w:w="992" w:type="dxa"/>
          </w:tcPr>
          <w:p w:rsidR="00B1455B" w:rsidRDefault="00B1455B">
            <w:pPr>
              <w:widowControl w:val="0"/>
              <w:ind w:left="360"/>
              <w:jc w:val="both"/>
            </w:pPr>
          </w:p>
        </w:tc>
        <w:tc>
          <w:tcPr>
            <w:tcW w:w="986" w:type="dxa"/>
          </w:tcPr>
          <w:p w:rsidR="00B1455B" w:rsidRDefault="00B1455B">
            <w:pPr>
              <w:widowControl w:val="0"/>
              <w:ind w:left="360"/>
              <w:jc w:val="both"/>
            </w:pPr>
          </w:p>
        </w:tc>
      </w:tr>
      <w:tr w:rsidR="00B1455B">
        <w:tc>
          <w:tcPr>
            <w:tcW w:w="8217" w:type="dxa"/>
          </w:tcPr>
          <w:p w:rsidR="00B1455B" w:rsidRDefault="009E3CD9">
            <w:pPr>
              <w:widowControl w:val="0"/>
              <w:numPr>
                <w:ilvl w:val="0"/>
                <w:numId w:val="2"/>
              </w:numPr>
              <w:jc w:val="both"/>
            </w:pPr>
            <w:proofErr w:type="spellStart"/>
            <w:r>
              <w:lastRenderedPageBreak/>
              <w:t>girofondo</w:t>
            </w:r>
            <w:proofErr w:type="spellEnd"/>
            <w:r>
              <w:t xml:space="preserve"> in Banca d’Italia;</w:t>
            </w:r>
          </w:p>
        </w:tc>
        <w:tc>
          <w:tcPr>
            <w:tcW w:w="992" w:type="dxa"/>
          </w:tcPr>
          <w:p w:rsidR="00B1455B" w:rsidRDefault="00B1455B">
            <w:pPr>
              <w:widowControl w:val="0"/>
              <w:ind w:left="360"/>
              <w:jc w:val="both"/>
            </w:pPr>
          </w:p>
        </w:tc>
        <w:tc>
          <w:tcPr>
            <w:tcW w:w="986" w:type="dxa"/>
          </w:tcPr>
          <w:p w:rsidR="00B1455B" w:rsidRDefault="00B1455B">
            <w:pPr>
              <w:widowControl w:val="0"/>
              <w:ind w:left="360"/>
              <w:jc w:val="both"/>
            </w:pPr>
          </w:p>
        </w:tc>
      </w:tr>
      <w:tr w:rsidR="00B1455B">
        <w:tc>
          <w:tcPr>
            <w:tcW w:w="8217" w:type="dxa"/>
          </w:tcPr>
          <w:p w:rsidR="00B1455B" w:rsidRDefault="009E3CD9">
            <w:pPr>
              <w:widowControl w:val="0"/>
              <w:numPr>
                <w:ilvl w:val="0"/>
                <w:numId w:val="2"/>
              </w:numPr>
              <w:jc w:val="both"/>
            </w:pPr>
            <w:r>
              <w:t>cassa (nei limiti di legge).</w:t>
            </w:r>
          </w:p>
        </w:tc>
        <w:tc>
          <w:tcPr>
            <w:tcW w:w="992" w:type="dxa"/>
          </w:tcPr>
          <w:p w:rsidR="00B1455B" w:rsidRDefault="00B1455B">
            <w:pPr>
              <w:widowControl w:val="0"/>
              <w:ind w:left="360"/>
              <w:jc w:val="both"/>
            </w:pPr>
          </w:p>
        </w:tc>
        <w:tc>
          <w:tcPr>
            <w:tcW w:w="986" w:type="dxa"/>
          </w:tcPr>
          <w:p w:rsidR="00B1455B" w:rsidRDefault="00B1455B">
            <w:pPr>
              <w:widowControl w:val="0"/>
              <w:ind w:left="360"/>
              <w:jc w:val="both"/>
            </w:pPr>
          </w:p>
        </w:tc>
      </w:tr>
      <w:tr w:rsidR="00B1455B">
        <w:tc>
          <w:tcPr>
            <w:tcW w:w="8217" w:type="dxa"/>
          </w:tcPr>
          <w:p w:rsidR="00B1455B" w:rsidRDefault="009E3CD9">
            <w:pPr>
              <w:widowControl w:val="0"/>
              <w:jc w:val="both"/>
            </w:pPr>
            <w:r>
              <w:t xml:space="preserve">I pagamenti per cassa potranno essere effettuati in “circolarità” presso qualsiasi Agenzia o Filiale dell’Aggiudicatario che conserverà la firma di quietanza. </w:t>
            </w:r>
          </w:p>
        </w:tc>
        <w:tc>
          <w:tcPr>
            <w:tcW w:w="992" w:type="dxa"/>
          </w:tcPr>
          <w:p w:rsidR="00B1455B" w:rsidRDefault="00B1455B">
            <w:pPr>
              <w:widowControl w:val="0"/>
              <w:ind w:left="360"/>
              <w:jc w:val="both"/>
            </w:pPr>
          </w:p>
        </w:tc>
        <w:tc>
          <w:tcPr>
            <w:tcW w:w="986" w:type="dxa"/>
          </w:tcPr>
          <w:p w:rsidR="00B1455B" w:rsidRDefault="00B1455B">
            <w:pPr>
              <w:widowControl w:val="0"/>
              <w:ind w:left="360"/>
              <w:jc w:val="both"/>
            </w:pPr>
          </w:p>
        </w:tc>
      </w:tr>
      <w:tr w:rsidR="00B1455B">
        <w:tc>
          <w:tcPr>
            <w:tcW w:w="8217" w:type="dxa"/>
          </w:tcPr>
          <w:p w:rsidR="00B1455B" w:rsidRDefault="009E3CD9">
            <w:pPr>
              <w:widowControl w:val="0"/>
              <w:tabs>
                <w:tab w:val="left" w:pos="0"/>
              </w:tabs>
              <w:jc w:val="both"/>
            </w:pPr>
            <w:r>
              <w:t>In ogni caso nessun onere può essere addebitato all’Università.</w:t>
            </w:r>
          </w:p>
        </w:tc>
        <w:tc>
          <w:tcPr>
            <w:tcW w:w="992" w:type="dxa"/>
          </w:tcPr>
          <w:p w:rsidR="00B1455B" w:rsidRDefault="00B1455B">
            <w:pPr>
              <w:widowControl w:val="0"/>
              <w:tabs>
                <w:tab w:val="left" w:pos="0"/>
              </w:tabs>
              <w:ind w:left="360"/>
              <w:jc w:val="both"/>
            </w:pPr>
          </w:p>
        </w:tc>
        <w:tc>
          <w:tcPr>
            <w:tcW w:w="986" w:type="dxa"/>
          </w:tcPr>
          <w:p w:rsidR="00B1455B" w:rsidRDefault="00B1455B">
            <w:pPr>
              <w:widowControl w:val="0"/>
              <w:tabs>
                <w:tab w:val="left" w:pos="0"/>
              </w:tabs>
              <w:ind w:left="360"/>
              <w:jc w:val="both"/>
            </w:pPr>
          </w:p>
        </w:tc>
      </w:tr>
      <w:tr w:rsidR="00B1455B">
        <w:tc>
          <w:tcPr>
            <w:tcW w:w="8217" w:type="dxa"/>
          </w:tcPr>
          <w:p w:rsidR="00B1455B" w:rsidRDefault="009E3CD9">
            <w:pPr>
              <w:widowControl w:val="0"/>
              <w:tabs>
                <w:tab w:val="left" w:pos="0"/>
              </w:tabs>
              <w:jc w:val="both"/>
              <w:rPr>
                <w:strike/>
              </w:rPr>
            </w:pPr>
            <w:r>
              <w:t xml:space="preserve">In caso di difficoltà tecniche che impediscano la generazione e la trasmissione degli ordinativi di pagamento tramite la piattaforma </w:t>
            </w:r>
            <w:proofErr w:type="spellStart"/>
            <w:r>
              <w:t>Siope</w:t>
            </w:r>
            <w:proofErr w:type="spellEnd"/>
            <w:r>
              <w:t xml:space="preserve"> + (es. malfunzionamenti software, blocco della piattaforma, ecc.) i pagamenti inderogabili ed obbligatori per legge, o il cui mancato pagamento sia causa di danno erariale per l’Ateneo,  potranno essere eseguiti dietro presentazione di apposita disposizione sottoscritta dai soggetti abilitati alla sottoscrizione dei ordinativi di pagamento, anche in assenza di Ordinativo OPI. Tali pagamenti saranno regolarizzati con l’emissione di ordinativo di pagamento al ripristino delle funzionalità. </w:t>
            </w:r>
          </w:p>
        </w:tc>
        <w:tc>
          <w:tcPr>
            <w:tcW w:w="992" w:type="dxa"/>
          </w:tcPr>
          <w:p w:rsidR="00B1455B" w:rsidRDefault="00B1455B">
            <w:pPr>
              <w:widowControl w:val="0"/>
              <w:tabs>
                <w:tab w:val="left" w:pos="0"/>
              </w:tabs>
              <w:ind w:left="360"/>
              <w:jc w:val="both"/>
            </w:pPr>
          </w:p>
        </w:tc>
        <w:tc>
          <w:tcPr>
            <w:tcW w:w="986" w:type="dxa"/>
          </w:tcPr>
          <w:p w:rsidR="00B1455B" w:rsidRDefault="00B1455B">
            <w:pPr>
              <w:widowControl w:val="0"/>
              <w:tabs>
                <w:tab w:val="left" w:pos="0"/>
              </w:tabs>
              <w:ind w:left="360"/>
              <w:jc w:val="both"/>
            </w:pPr>
          </w:p>
        </w:tc>
      </w:tr>
      <w:tr w:rsidR="00B1455B">
        <w:tc>
          <w:tcPr>
            <w:tcW w:w="8217" w:type="dxa"/>
          </w:tcPr>
          <w:p w:rsidR="00B1455B" w:rsidRDefault="009E3CD9">
            <w:pPr>
              <w:widowControl w:val="0"/>
              <w:jc w:val="both"/>
              <w:rPr>
                <w:strike/>
              </w:rPr>
            </w:pPr>
            <w:r>
              <w:t xml:space="preserve">I titoli di spesa saranno eseguiti entro il secondo giorno lavorativo susseguente a quello di trasmissione da parte dell’Ateneo alla piattaforma </w:t>
            </w:r>
            <w:proofErr w:type="spellStart"/>
            <w:r>
              <w:t>Siope</w:t>
            </w:r>
            <w:proofErr w:type="spellEnd"/>
            <w:r>
              <w:t xml:space="preserve">+. In sede di offerta potrà essere indicato un numero di giorni minore, oggetto di valutazione dell’offerta tecnica; in tale caso i titoli di spesa dovranno essere eseguiti entro il numero di giorni lavorativi susseguenti a quello di trasmissione al sistema </w:t>
            </w:r>
            <w:proofErr w:type="spellStart"/>
            <w:r>
              <w:t>Siope</w:t>
            </w:r>
            <w:proofErr w:type="spellEnd"/>
            <w:r>
              <w:t>+ indicati nell’offerta, salvo diversa indicazione dell’Università (ad esempio indicazione espressa della data di esigibilità</w:t>
            </w:r>
            <w:r>
              <w:rPr>
                <w:strike/>
              </w:rPr>
              <w:t>)</w:t>
            </w:r>
          </w:p>
        </w:tc>
        <w:tc>
          <w:tcPr>
            <w:tcW w:w="992" w:type="dxa"/>
          </w:tcPr>
          <w:p w:rsidR="00B1455B" w:rsidRDefault="00B1455B">
            <w:pPr>
              <w:widowControl w:val="0"/>
              <w:ind w:left="360"/>
              <w:jc w:val="both"/>
            </w:pPr>
          </w:p>
        </w:tc>
        <w:tc>
          <w:tcPr>
            <w:tcW w:w="986" w:type="dxa"/>
          </w:tcPr>
          <w:p w:rsidR="00B1455B" w:rsidRDefault="00B1455B">
            <w:pPr>
              <w:widowControl w:val="0"/>
              <w:ind w:left="360"/>
              <w:jc w:val="both"/>
            </w:pPr>
          </w:p>
        </w:tc>
      </w:tr>
      <w:tr w:rsidR="00B1455B">
        <w:tc>
          <w:tcPr>
            <w:tcW w:w="8217" w:type="dxa"/>
          </w:tcPr>
          <w:p w:rsidR="00B1455B" w:rsidRDefault="009E3CD9">
            <w:pPr>
              <w:widowControl w:val="0"/>
              <w:rPr>
                <w:b/>
              </w:rPr>
            </w:pPr>
            <w:r>
              <w:rPr>
                <w:b/>
              </w:rPr>
              <w:t>Art. 6 – COMUNICAZIONE DELLE FIRME</w:t>
            </w:r>
          </w:p>
        </w:tc>
        <w:tc>
          <w:tcPr>
            <w:tcW w:w="992" w:type="dxa"/>
          </w:tcPr>
          <w:p w:rsidR="00B1455B" w:rsidRDefault="00B1455B">
            <w:pPr>
              <w:widowControl w:val="0"/>
              <w:ind w:left="360"/>
              <w:jc w:val="center"/>
              <w:rPr>
                <w:b/>
              </w:rPr>
            </w:pPr>
          </w:p>
        </w:tc>
        <w:tc>
          <w:tcPr>
            <w:tcW w:w="986" w:type="dxa"/>
          </w:tcPr>
          <w:p w:rsidR="00B1455B" w:rsidRDefault="00B1455B">
            <w:pPr>
              <w:widowControl w:val="0"/>
              <w:ind w:left="360"/>
              <w:jc w:val="center"/>
              <w:rPr>
                <w:b/>
              </w:rPr>
            </w:pPr>
          </w:p>
        </w:tc>
      </w:tr>
      <w:tr w:rsidR="00B1455B">
        <w:tc>
          <w:tcPr>
            <w:tcW w:w="8217" w:type="dxa"/>
          </w:tcPr>
          <w:p w:rsidR="00B1455B" w:rsidRDefault="009E3CD9">
            <w:pPr>
              <w:widowControl w:val="0"/>
              <w:jc w:val="both"/>
            </w:pPr>
            <w:r>
              <w:t>L’Aggiudicatario è tenuto ad accettare le firme utilizzate dall’Ateneo.</w:t>
            </w:r>
          </w:p>
        </w:tc>
        <w:tc>
          <w:tcPr>
            <w:tcW w:w="992" w:type="dxa"/>
          </w:tcPr>
          <w:p w:rsidR="00B1455B" w:rsidRDefault="00B1455B">
            <w:pPr>
              <w:widowControl w:val="0"/>
              <w:ind w:left="360"/>
              <w:jc w:val="both"/>
            </w:pPr>
          </w:p>
        </w:tc>
        <w:tc>
          <w:tcPr>
            <w:tcW w:w="986" w:type="dxa"/>
          </w:tcPr>
          <w:p w:rsidR="00B1455B" w:rsidRDefault="00B1455B">
            <w:pPr>
              <w:widowControl w:val="0"/>
              <w:ind w:left="360"/>
              <w:jc w:val="both"/>
            </w:pPr>
          </w:p>
        </w:tc>
      </w:tr>
      <w:tr w:rsidR="00B1455B">
        <w:tc>
          <w:tcPr>
            <w:tcW w:w="8217" w:type="dxa"/>
          </w:tcPr>
          <w:p w:rsidR="00B1455B" w:rsidRDefault="009E3CD9">
            <w:pPr>
              <w:widowControl w:val="0"/>
              <w:jc w:val="both"/>
            </w:pPr>
            <w:r>
              <w:t>L’Aggiudicatario è tenuto a verificare la corrispondenza delle firme utilizzate con le firme espressamente autorizzate.</w:t>
            </w:r>
          </w:p>
        </w:tc>
        <w:tc>
          <w:tcPr>
            <w:tcW w:w="992" w:type="dxa"/>
          </w:tcPr>
          <w:p w:rsidR="00B1455B" w:rsidRDefault="00B1455B">
            <w:pPr>
              <w:widowControl w:val="0"/>
              <w:ind w:left="360"/>
              <w:jc w:val="both"/>
            </w:pPr>
          </w:p>
        </w:tc>
        <w:tc>
          <w:tcPr>
            <w:tcW w:w="986" w:type="dxa"/>
          </w:tcPr>
          <w:p w:rsidR="00B1455B" w:rsidRDefault="00B1455B">
            <w:pPr>
              <w:widowControl w:val="0"/>
              <w:ind w:left="360"/>
              <w:jc w:val="both"/>
            </w:pPr>
          </w:p>
        </w:tc>
      </w:tr>
      <w:tr w:rsidR="00B1455B">
        <w:tc>
          <w:tcPr>
            <w:tcW w:w="8217" w:type="dxa"/>
          </w:tcPr>
          <w:p w:rsidR="00B1455B" w:rsidRDefault="009E3CD9">
            <w:pPr>
              <w:widowControl w:val="0"/>
              <w:jc w:val="both"/>
            </w:pPr>
            <w:r>
              <w:t xml:space="preserve">L’Aggiudicatario è tenuto a non dare esecuzione a titoli di spesa non muniti delle firme espressamente autorizzate. </w:t>
            </w:r>
          </w:p>
        </w:tc>
        <w:tc>
          <w:tcPr>
            <w:tcW w:w="992" w:type="dxa"/>
          </w:tcPr>
          <w:p w:rsidR="00B1455B" w:rsidRDefault="00B1455B">
            <w:pPr>
              <w:widowControl w:val="0"/>
              <w:ind w:left="360"/>
              <w:jc w:val="both"/>
            </w:pPr>
          </w:p>
        </w:tc>
        <w:tc>
          <w:tcPr>
            <w:tcW w:w="986" w:type="dxa"/>
          </w:tcPr>
          <w:p w:rsidR="00B1455B" w:rsidRDefault="00B1455B">
            <w:pPr>
              <w:widowControl w:val="0"/>
              <w:ind w:left="360"/>
              <w:jc w:val="both"/>
            </w:pPr>
          </w:p>
        </w:tc>
      </w:tr>
      <w:tr w:rsidR="00B1455B">
        <w:tc>
          <w:tcPr>
            <w:tcW w:w="8217" w:type="dxa"/>
          </w:tcPr>
          <w:p w:rsidR="00B1455B" w:rsidRDefault="009E3CD9">
            <w:pPr>
              <w:widowControl w:val="0"/>
              <w:rPr>
                <w:b/>
              </w:rPr>
            </w:pPr>
            <w:r>
              <w:rPr>
                <w:b/>
              </w:rPr>
              <w:t>Art. 7 – SERVIZIO TRASMISSIONE DATI E DI RENDICONTAZIONE</w:t>
            </w:r>
          </w:p>
        </w:tc>
        <w:tc>
          <w:tcPr>
            <w:tcW w:w="992" w:type="dxa"/>
          </w:tcPr>
          <w:p w:rsidR="00B1455B" w:rsidRDefault="00B1455B">
            <w:pPr>
              <w:widowControl w:val="0"/>
              <w:ind w:left="360"/>
              <w:jc w:val="center"/>
              <w:rPr>
                <w:b/>
              </w:rPr>
            </w:pPr>
          </w:p>
        </w:tc>
        <w:tc>
          <w:tcPr>
            <w:tcW w:w="986" w:type="dxa"/>
          </w:tcPr>
          <w:p w:rsidR="00B1455B" w:rsidRDefault="00B1455B">
            <w:pPr>
              <w:widowControl w:val="0"/>
              <w:ind w:left="360"/>
              <w:jc w:val="center"/>
              <w:rPr>
                <w:b/>
              </w:rPr>
            </w:pPr>
          </w:p>
        </w:tc>
      </w:tr>
      <w:tr w:rsidR="00B1455B">
        <w:tc>
          <w:tcPr>
            <w:tcW w:w="8217" w:type="dxa"/>
          </w:tcPr>
          <w:p w:rsidR="00B1455B" w:rsidRDefault="009E3CD9">
            <w:pPr>
              <w:widowControl w:val="0"/>
              <w:jc w:val="both"/>
            </w:pPr>
            <w:r>
              <w:t xml:space="preserve">L’Aggiudicatario dovrà colloquiare con la piattaforma </w:t>
            </w:r>
            <w:proofErr w:type="spellStart"/>
            <w:r>
              <w:t>Siope</w:t>
            </w:r>
            <w:proofErr w:type="spellEnd"/>
            <w:r>
              <w:t xml:space="preserve"> + secondo le specifiche tecniche previste da </w:t>
            </w:r>
            <w:proofErr w:type="spellStart"/>
            <w:r>
              <w:t>AgID</w:t>
            </w:r>
            <w:proofErr w:type="spellEnd"/>
            <w:r>
              <w:t>, Banca d’Italia e Ragioneria Generale dello Stato.</w:t>
            </w:r>
          </w:p>
        </w:tc>
        <w:tc>
          <w:tcPr>
            <w:tcW w:w="992" w:type="dxa"/>
          </w:tcPr>
          <w:p w:rsidR="00B1455B" w:rsidRDefault="00B1455B">
            <w:pPr>
              <w:widowControl w:val="0"/>
              <w:ind w:left="360"/>
              <w:jc w:val="both"/>
            </w:pPr>
          </w:p>
        </w:tc>
        <w:tc>
          <w:tcPr>
            <w:tcW w:w="986" w:type="dxa"/>
          </w:tcPr>
          <w:p w:rsidR="00B1455B" w:rsidRDefault="00B1455B">
            <w:pPr>
              <w:widowControl w:val="0"/>
              <w:ind w:left="360"/>
              <w:jc w:val="both"/>
            </w:pPr>
          </w:p>
        </w:tc>
      </w:tr>
      <w:tr w:rsidR="00B1455B">
        <w:tc>
          <w:tcPr>
            <w:tcW w:w="8217" w:type="dxa"/>
          </w:tcPr>
          <w:p w:rsidR="00B1455B" w:rsidRDefault="009E3CD9">
            <w:pPr>
              <w:widowControl w:val="0"/>
              <w:jc w:val="both"/>
            </w:pPr>
            <w:r>
              <w:t xml:space="preserve">In aggiunta l’Aggiudicatario dovrà organizzare un servizio di trasmissione dati e di rendicontazione delle operazioni compiute nell’ambito del servizio di cassa, in modo tale che l’Università possa essere costantemente informata delle operazioni compiute e di quelle in corso. </w:t>
            </w:r>
          </w:p>
        </w:tc>
        <w:tc>
          <w:tcPr>
            <w:tcW w:w="992" w:type="dxa"/>
          </w:tcPr>
          <w:p w:rsidR="00B1455B" w:rsidRDefault="00B1455B">
            <w:pPr>
              <w:widowControl w:val="0"/>
              <w:ind w:left="360"/>
              <w:jc w:val="both"/>
            </w:pPr>
          </w:p>
        </w:tc>
        <w:tc>
          <w:tcPr>
            <w:tcW w:w="986" w:type="dxa"/>
          </w:tcPr>
          <w:p w:rsidR="00B1455B" w:rsidRDefault="00B1455B">
            <w:pPr>
              <w:widowControl w:val="0"/>
              <w:ind w:left="360"/>
              <w:jc w:val="both"/>
            </w:pPr>
          </w:p>
        </w:tc>
      </w:tr>
      <w:tr w:rsidR="00B1455B">
        <w:tc>
          <w:tcPr>
            <w:tcW w:w="8217" w:type="dxa"/>
          </w:tcPr>
          <w:p w:rsidR="00B1455B" w:rsidRDefault="009E3CD9">
            <w:pPr>
              <w:widowControl w:val="0"/>
              <w:jc w:val="both"/>
            </w:pPr>
            <w:r>
              <w:t>I servizi di trasmissione dati che dovranno essere garantiti riguardano i seguenti flussi dati:</w:t>
            </w:r>
          </w:p>
        </w:tc>
        <w:tc>
          <w:tcPr>
            <w:tcW w:w="992" w:type="dxa"/>
          </w:tcPr>
          <w:p w:rsidR="00B1455B" w:rsidRDefault="00B1455B">
            <w:pPr>
              <w:widowControl w:val="0"/>
              <w:ind w:left="360"/>
              <w:jc w:val="both"/>
            </w:pPr>
          </w:p>
        </w:tc>
        <w:tc>
          <w:tcPr>
            <w:tcW w:w="986" w:type="dxa"/>
          </w:tcPr>
          <w:p w:rsidR="00B1455B" w:rsidRDefault="00B1455B">
            <w:pPr>
              <w:widowControl w:val="0"/>
              <w:ind w:left="360"/>
              <w:jc w:val="both"/>
            </w:pPr>
          </w:p>
        </w:tc>
      </w:tr>
      <w:tr w:rsidR="00B1455B">
        <w:tc>
          <w:tcPr>
            <w:tcW w:w="8217" w:type="dxa"/>
          </w:tcPr>
          <w:p w:rsidR="00B1455B" w:rsidRDefault="009E3CD9">
            <w:pPr>
              <w:widowControl w:val="0"/>
              <w:numPr>
                <w:ilvl w:val="0"/>
                <w:numId w:val="3"/>
              </w:numPr>
              <w:jc w:val="both"/>
            </w:pPr>
            <w:proofErr w:type="spellStart"/>
            <w:r>
              <w:t>Iuv</w:t>
            </w:r>
            <w:proofErr w:type="spellEnd"/>
            <w:r>
              <w:t xml:space="preserve"> –generazione e annullamento- ai sensi del precedente art. 3;</w:t>
            </w:r>
          </w:p>
        </w:tc>
        <w:tc>
          <w:tcPr>
            <w:tcW w:w="992" w:type="dxa"/>
          </w:tcPr>
          <w:p w:rsidR="00B1455B" w:rsidRDefault="00B1455B">
            <w:pPr>
              <w:widowControl w:val="0"/>
              <w:ind w:left="360"/>
              <w:jc w:val="both"/>
            </w:pPr>
          </w:p>
        </w:tc>
        <w:tc>
          <w:tcPr>
            <w:tcW w:w="986" w:type="dxa"/>
          </w:tcPr>
          <w:p w:rsidR="00B1455B" w:rsidRDefault="00B1455B">
            <w:pPr>
              <w:widowControl w:val="0"/>
              <w:ind w:left="360"/>
              <w:jc w:val="both"/>
            </w:pPr>
          </w:p>
        </w:tc>
      </w:tr>
      <w:tr w:rsidR="00B1455B">
        <w:tc>
          <w:tcPr>
            <w:tcW w:w="8217" w:type="dxa"/>
          </w:tcPr>
          <w:p w:rsidR="00B1455B" w:rsidRDefault="009E3CD9">
            <w:pPr>
              <w:widowControl w:val="0"/>
              <w:numPr>
                <w:ilvl w:val="0"/>
                <w:numId w:val="3"/>
              </w:numPr>
              <w:jc w:val="both"/>
            </w:pPr>
            <w:r>
              <w:t>rendicontazioni IUV, ai sensi del precedente art. 3;</w:t>
            </w:r>
          </w:p>
        </w:tc>
        <w:tc>
          <w:tcPr>
            <w:tcW w:w="992" w:type="dxa"/>
          </w:tcPr>
          <w:p w:rsidR="00B1455B" w:rsidRDefault="00B1455B">
            <w:pPr>
              <w:widowControl w:val="0"/>
              <w:ind w:left="360"/>
              <w:jc w:val="both"/>
            </w:pPr>
          </w:p>
        </w:tc>
        <w:tc>
          <w:tcPr>
            <w:tcW w:w="986" w:type="dxa"/>
          </w:tcPr>
          <w:p w:rsidR="00B1455B" w:rsidRDefault="00B1455B">
            <w:pPr>
              <w:widowControl w:val="0"/>
              <w:ind w:left="360"/>
              <w:jc w:val="both"/>
            </w:pPr>
          </w:p>
        </w:tc>
      </w:tr>
      <w:tr w:rsidR="00B1455B">
        <w:tc>
          <w:tcPr>
            <w:tcW w:w="8217" w:type="dxa"/>
          </w:tcPr>
          <w:p w:rsidR="00B1455B" w:rsidRDefault="009E3CD9">
            <w:pPr>
              <w:widowControl w:val="0"/>
              <w:numPr>
                <w:ilvl w:val="0"/>
                <w:numId w:val="3"/>
              </w:numPr>
              <w:jc w:val="both"/>
            </w:pPr>
            <w:r>
              <w:t>trasmissione flusso pagamento stipendi</w:t>
            </w:r>
          </w:p>
        </w:tc>
        <w:tc>
          <w:tcPr>
            <w:tcW w:w="992" w:type="dxa"/>
          </w:tcPr>
          <w:p w:rsidR="00B1455B" w:rsidRDefault="00B1455B">
            <w:pPr>
              <w:widowControl w:val="0"/>
              <w:ind w:left="360"/>
              <w:jc w:val="both"/>
            </w:pPr>
          </w:p>
        </w:tc>
        <w:tc>
          <w:tcPr>
            <w:tcW w:w="986" w:type="dxa"/>
          </w:tcPr>
          <w:p w:rsidR="00B1455B" w:rsidRDefault="00B1455B">
            <w:pPr>
              <w:widowControl w:val="0"/>
              <w:ind w:left="360"/>
              <w:jc w:val="both"/>
            </w:pPr>
          </w:p>
        </w:tc>
      </w:tr>
      <w:tr w:rsidR="00B1455B">
        <w:tc>
          <w:tcPr>
            <w:tcW w:w="8217" w:type="dxa"/>
          </w:tcPr>
          <w:p w:rsidR="00B1455B" w:rsidRDefault="009E3CD9">
            <w:pPr>
              <w:widowControl w:val="0"/>
              <w:numPr>
                <w:ilvl w:val="0"/>
                <w:numId w:val="3"/>
              </w:numPr>
              <w:jc w:val="both"/>
            </w:pPr>
            <w:r>
              <w:t>trasmissione deleghe F24 e F24 Enti Pubblici</w:t>
            </w:r>
          </w:p>
        </w:tc>
        <w:tc>
          <w:tcPr>
            <w:tcW w:w="992" w:type="dxa"/>
          </w:tcPr>
          <w:p w:rsidR="00B1455B" w:rsidRDefault="00B1455B">
            <w:pPr>
              <w:widowControl w:val="0"/>
              <w:ind w:left="360"/>
              <w:jc w:val="both"/>
            </w:pPr>
          </w:p>
        </w:tc>
        <w:tc>
          <w:tcPr>
            <w:tcW w:w="986" w:type="dxa"/>
          </w:tcPr>
          <w:p w:rsidR="00B1455B" w:rsidRDefault="00B1455B">
            <w:pPr>
              <w:widowControl w:val="0"/>
              <w:ind w:left="360"/>
              <w:jc w:val="both"/>
            </w:pPr>
          </w:p>
        </w:tc>
      </w:tr>
      <w:tr w:rsidR="00B1455B">
        <w:tc>
          <w:tcPr>
            <w:tcW w:w="8217" w:type="dxa"/>
          </w:tcPr>
          <w:p w:rsidR="00B1455B" w:rsidRDefault="009E3CD9">
            <w:pPr>
              <w:widowControl w:val="0"/>
              <w:jc w:val="both"/>
            </w:pPr>
            <w:r>
              <w:t>I servizi di rendicontazione che dovranno essere garantiti sono:</w:t>
            </w:r>
          </w:p>
        </w:tc>
        <w:tc>
          <w:tcPr>
            <w:tcW w:w="992" w:type="dxa"/>
          </w:tcPr>
          <w:p w:rsidR="00B1455B" w:rsidRDefault="00B1455B">
            <w:pPr>
              <w:widowControl w:val="0"/>
              <w:ind w:left="360"/>
              <w:jc w:val="both"/>
            </w:pPr>
          </w:p>
        </w:tc>
        <w:tc>
          <w:tcPr>
            <w:tcW w:w="986" w:type="dxa"/>
          </w:tcPr>
          <w:p w:rsidR="00B1455B" w:rsidRDefault="00B1455B">
            <w:pPr>
              <w:widowControl w:val="0"/>
              <w:ind w:left="360"/>
              <w:jc w:val="both"/>
            </w:pPr>
          </w:p>
        </w:tc>
      </w:tr>
      <w:tr w:rsidR="00B1455B">
        <w:tc>
          <w:tcPr>
            <w:tcW w:w="8217" w:type="dxa"/>
          </w:tcPr>
          <w:p w:rsidR="00B1455B" w:rsidRDefault="009E3CD9">
            <w:pPr>
              <w:widowControl w:val="0"/>
              <w:numPr>
                <w:ilvl w:val="0"/>
                <w:numId w:val="3"/>
              </w:numPr>
              <w:jc w:val="both"/>
            </w:pPr>
            <w:r>
              <w:t>consultazione dello stato di esecuzione degli ordinativi informatici</w:t>
            </w:r>
          </w:p>
        </w:tc>
        <w:tc>
          <w:tcPr>
            <w:tcW w:w="992" w:type="dxa"/>
          </w:tcPr>
          <w:p w:rsidR="00B1455B" w:rsidRDefault="00B1455B">
            <w:pPr>
              <w:widowControl w:val="0"/>
              <w:ind w:left="360"/>
              <w:jc w:val="both"/>
            </w:pPr>
          </w:p>
        </w:tc>
        <w:tc>
          <w:tcPr>
            <w:tcW w:w="986" w:type="dxa"/>
          </w:tcPr>
          <w:p w:rsidR="00B1455B" w:rsidRDefault="00B1455B">
            <w:pPr>
              <w:widowControl w:val="0"/>
              <w:ind w:left="360"/>
              <w:jc w:val="both"/>
            </w:pPr>
          </w:p>
        </w:tc>
      </w:tr>
      <w:tr w:rsidR="00B1455B">
        <w:tc>
          <w:tcPr>
            <w:tcW w:w="8217" w:type="dxa"/>
          </w:tcPr>
          <w:p w:rsidR="00B1455B" w:rsidRDefault="009E3CD9">
            <w:pPr>
              <w:widowControl w:val="0"/>
              <w:numPr>
                <w:ilvl w:val="0"/>
                <w:numId w:val="3"/>
              </w:numPr>
              <w:jc w:val="both"/>
            </w:pPr>
            <w:r>
              <w:t>stampa e download quietanze di pagamento</w:t>
            </w:r>
          </w:p>
        </w:tc>
        <w:tc>
          <w:tcPr>
            <w:tcW w:w="992" w:type="dxa"/>
          </w:tcPr>
          <w:p w:rsidR="00B1455B" w:rsidRDefault="00B1455B">
            <w:pPr>
              <w:widowControl w:val="0"/>
              <w:ind w:left="360"/>
              <w:jc w:val="both"/>
            </w:pPr>
          </w:p>
        </w:tc>
        <w:tc>
          <w:tcPr>
            <w:tcW w:w="986" w:type="dxa"/>
          </w:tcPr>
          <w:p w:rsidR="00B1455B" w:rsidRDefault="00B1455B">
            <w:pPr>
              <w:widowControl w:val="0"/>
              <w:ind w:left="360"/>
              <w:jc w:val="both"/>
            </w:pPr>
          </w:p>
        </w:tc>
      </w:tr>
      <w:tr w:rsidR="00B1455B">
        <w:tc>
          <w:tcPr>
            <w:tcW w:w="8217" w:type="dxa"/>
          </w:tcPr>
          <w:p w:rsidR="00B1455B" w:rsidRDefault="009E3CD9">
            <w:pPr>
              <w:widowControl w:val="0"/>
              <w:numPr>
                <w:ilvl w:val="0"/>
                <w:numId w:val="3"/>
              </w:numPr>
              <w:jc w:val="both"/>
            </w:pPr>
            <w:r>
              <w:t xml:space="preserve">consultazione saldo e movimenti di conto corrente e conto di tesoreria unica </w:t>
            </w:r>
          </w:p>
        </w:tc>
        <w:tc>
          <w:tcPr>
            <w:tcW w:w="992" w:type="dxa"/>
          </w:tcPr>
          <w:p w:rsidR="00B1455B" w:rsidRDefault="00B1455B">
            <w:pPr>
              <w:widowControl w:val="0"/>
              <w:ind w:left="360"/>
              <w:jc w:val="both"/>
            </w:pPr>
          </w:p>
        </w:tc>
        <w:tc>
          <w:tcPr>
            <w:tcW w:w="986" w:type="dxa"/>
          </w:tcPr>
          <w:p w:rsidR="00B1455B" w:rsidRDefault="00B1455B">
            <w:pPr>
              <w:widowControl w:val="0"/>
              <w:ind w:left="360"/>
              <w:jc w:val="both"/>
            </w:pPr>
          </w:p>
        </w:tc>
      </w:tr>
      <w:tr w:rsidR="00B1455B">
        <w:tc>
          <w:tcPr>
            <w:tcW w:w="8217" w:type="dxa"/>
          </w:tcPr>
          <w:p w:rsidR="00B1455B" w:rsidRDefault="009E3CD9">
            <w:pPr>
              <w:widowControl w:val="0"/>
              <w:numPr>
                <w:ilvl w:val="0"/>
                <w:numId w:val="3"/>
              </w:numPr>
              <w:jc w:val="both"/>
            </w:pPr>
            <w:r>
              <w:t>consultazione e download elenco ordinativi di pagamento e ordinativi di incasso da eseguire e uscite e entrate da regolarizzare</w:t>
            </w:r>
          </w:p>
        </w:tc>
        <w:tc>
          <w:tcPr>
            <w:tcW w:w="992" w:type="dxa"/>
          </w:tcPr>
          <w:p w:rsidR="00B1455B" w:rsidRDefault="00B1455B">
            <w:pPr>
              <w:widowControl w:val="0"/>
              <w:ind w:left="360"/>
              <w:jc w:val="both"/>
            </w:pPr>
          </w:p>
        </w:tc>
        <w:tc>
          <w:tcPr>
            <w:tcW w:w="986" w:type="dxa"/>
          </w:tcPr>
          <w:p w:rsidR="00B1455B" w:rsidRDefault="00B1455B">
            <w:pPr>
              <w:widowControl w:val="0"/>
              <w:ind w:left="360"/>
              <w:jc w:val="both"/>
            </w:pPr>
          </w:p>
        </w:tc>
      </w:tr>
      <w:tr w:rsidR="00B1455B">
        <w:tc>
          <w:tcPr>
            <w:tcW w:w="8217" w:type="dxa"/>
          </w:tcPr>
          <w:p w:rsidR="00B1455B" w:rsidRDefault="009E3CD9">
            <w:pPr>
              <w:widowControl w:val="0"/>
              <w:numPr>
                <w:ilvl w:val="0"/>
                <w:numId w:val="3"/>
              </w:numPr>
              <w:jc w:val="both"/>
            </w:pPr>
            <w:r>
              <w:t>pagamento deleghe F24 e F24 Enti Pubblici</w:t>
            </w:r>
          </w:p>
        </w:tc>
        <w:tc>
          <w:tcPr>
            <w:tcW w:w="992" w:type="dxa"/>
          </w:tcPr>
          <w:p w:rsidR="00B1455B" w:rsidRDefault="00B1455B">
            <w:pPr>
              <w:widowControl w:val="0"/>
              <w:ind w:left="360"/>
              <w:jc w:val="both"/>
            </w:pPr>
          </w:p>
        </w:tc>
        <w:tc>
          <w:tcPr>
            <w:tcW w:w="986" w:type="dxa"/>
          </w:tcPr>
          <w:p w:rsidR="00B1455B" w:rsidRDefault="00B1455B">
            <w:pPr>
              <w:widowControl w:val="0"/>
              <w:ind w:left="360"/>
              <w:jc w:val="both"/>
            </w:pPr>
          </w:p>
        </w:tc>
      </w:tr>
      <w:tr w:rsidR="00B1455B">
        <w:tc>
          <w:tcPr>
            <w:tcW w:w="8217" w:type="dxa"/>
          </w:tcPr>
          <w:p w:rsidR="00B1455B" w:rsidRDefault="009E3CD9">
            <w:pPr>
              <w:widowControl w:val="0"/>
              <w:numPr>
                <w:ilvl w:val="0"/>
                <w:numId w:val="3"/>
              </w:numPr>
              <w:jc w:val="both"/>
            </w:pPr>
            <w:r>
              <w:t>interrogazione documenti (es. ordinativi, quietanze)</w:t>
            </w:r>
          </w:p>
        </w:tc>
        <w:tc>
          <w:tcPr>
            <w:tcW w:w="992" w:type="dxa"/>
          </w:tcPr>
          <w:p w:rsidR="00B1455B" w:rsidRDefault="00B1455B">
            <w:pPr>
              <w:widowControl w:val="0"/>
              <w:ind w:left="360"/>
              <w:jc w:val="both"/>
            </w:pPr>
          </w:p>
        </w:tc>
        <w:tc>
          <w:tcPr>
            <w:tcW w:w="986" w:type="dxa"/>
          </w:tcPr>
          <w:p w:rsidR="00B1455B" w:rsidRDefault="00B1455B">
            <w:pPr>
              <w:widowControl w:val="0"/>
              <w:ind w:left="360"/>
              <w:jc w:val="both"/>
            </w:pPr>
          </w:p>
        </w:tc>
      </w:tr>
      <w:tr w:rsidR="00B1455B">
        <w:tc>
          <w:tcPr>
            <w:tcW w:w="8217" w:type="dxa"/>
          </w:tcPr>
          <w:p w:rsidR="00B1455B" w:rsidRDefault="009E3CD9">
            <w:pPr>
              <w:widowControl w:val="0"/>
              <w:numPr>
                <w:ilvl w:val="0"/>
                <w:numId w:val="3"/>
              </w:numPr>
              <w:jc w:val="both"/>
            </w:pPr>
            <w:r>
              <w:t>consultazione IUV emessi e relativo stato (es. incassato, da incassare, annullato)</w:t>
            </w:r>
          </w:p>
        </w:tc>
        <w:tc>
          <w:tcPr>
            <w:tcW w:w="992" w:type="dxa"/>
          </w:tcPr>
          <w:p w:rsidR="00B1455B" w:rsidRDefault="00B1455B">
            <w:pPr>
              <w:widowControl w:val="0"/>
              <w:ind w:left="360"/>
              <w:jc w:val="both"/>
            </w:pPr>
          </w:p>
        </w:tc>
        <w:tc>
          <w:tcPr>
            <w:tcW w:w="986" w:type="dxa"/>
          </w:tcPr>
          <w:p w:rsidR="00B1455B" w:rsidRDefault="00B1455B">
            <w:pPr>
              <w:widowControl w:val="0"/>
              <w:ind w:left="360"/>
              <w:jc w:val="both"/>
            </w:pPr>
          </w:p>
        </w:tc>
      </w:tr>
      <w:tr w:rsidR="00B1455B">
        <w:tc>
          <w:tcPr>
            <w:tcW w:w="8217" w:type="dxa"/>
          </w:tcPr>
          <w:p w:rsidR="00B1455B" w:rsidRDefault="009E3CD9">
            <w:pPr>
              <w:widowControl w:val="0"/>
              <w:numPr>
                <w:ilvl w:val="0"/>
                <w:numId w:val="3"/>
              </w:numPr>
              <w:jc w:val="both"/>
            </w:pPr>
            <w:r>
              <w:lastRenderedPageBreak/>
              <w:t xml:space="preserve">consultazione per ogni IUV dei dati inerenti </w:t>
            </w:r>
            <w:proofErr w:type="gramStart"/>
            <w:r>
              <w:t>il</w:t>
            </w:r>
            <w:proofErr w:type="gramEnd"/>
            <w:r>
              <w:t xml:space="preserve"> credito</w:t>
            </w:r>
          </w:p>
        </w:tc>
        <w:tc>
          <w:tcPr>
            <w:tcW w:w="992" w:type="dxa"/>
          </w:tcPr>
          <w:p w:rsidR="00B1455B" w:rsidRDefault="00B1455B">
            <w:pPr>
              <w:widowControl w:val="0"/>
              <w:ind w:left="360"/>
              <w:jc w:val="both"/>
            </w:pPr>
          </w:p>
        </w:tc>
        <w:tc>
          <w:tcPr>
            <w:tcW w:w="986" w:type="dxa"/>
          </w:tcPr>
          <w:p w:rsidR="00B1455B" w:rsidRDefault="00B1455B">
            <w:pPr>
              <w:widowControl w:val="0"/>
              <w:ind w:left="360"/>
              <w:jc w:val="both"/>
            </w:pPr>
          </w:p>
        </w:tc>
      </w:tr>
      <w:tr w:rsidR="00B1455B">
        <w:tc>
          <w:tcPr>
            <w:tcW w:w="8217" w:type="dxa"/>
          </w:tcPr>
          <w:p w:rsidR="00B1455B" w:rsidRDefault="009E3CD9">
            <w:pPr>
              <w:widowControl w:val="0"/>
              <w:jc w:val="both"/>
            </w:pPr>
            <w:r>
              <w:t xml:space="preserve">I servizi on line devono essere compatibili, con le principali procedure applicative e i browser. </w:t>
            </w:r>
          </w:p>
        </w:tc>
        <w:tc>
          <w:tcPr>
            <w:tcW w:w="992" w:type="dxa"/>
          </w:tcPr>
          <w:p w:rsidR="00B1455B" w:rsidRDefault="00B1455B">
            <w:pPr>
              <w:widowControl w:val="0"/>
              <w:ind w:left="360"/>
              <w:jc w:val="both"/>
            </w:pPr>
          </w:p>
        </w:tc>
        <w:tc>
          <w:tcPr>
            <w:tcW w:w="986" w:type="dxa"/>
          </w:tcPr>
          <w:p w:rsidR="00B1455B" w:rsidRDefault="00B1455B">
            <w:pPr>
              <w:widowControl w:val="0"/>
              <w:ind w:left="360"/>
              <w:jc w:val="both"/>
            </w:pPr>
          </w:p>
        </w:tc>
      </w:tr>
      <w:tr w:rsidR="00B1455B">
        <w:tc>
          <w:tcPr>
            <w:tcW w:w="8217" w:type="dxa"/>
          </w:tcPr>
          <w:p w:rsidR="00B1455B" w:rsidRDefault="009E3CD9">
            <w:pPr>
              <w:widowControl w:val="0"/>
              <w:jc w:val="both"/>
            </w:pPr>
            <w:r>
              <w:t xml:space="preserve">Deve essere garantita la possibilità di creare per i predetti servizi “n” utenti, ognuno con un’abilitazione personalizzata. </w:t>
            </w:r>
          </w:p>
        </w:tc>
        <w:tc>
          <w:tcPr>
            <w:tcW w:w="992" w:type="dxa"/>
          </w:tcPr>
          <w:p w:rsidR="00B1455B" w:rsidRDefault="00B1455B">
            <w:pPr>
              <w:widowControl w:val="0"/>
              <w:ind w:left="360"/>
              <w:jc w:val="both"/>
            </w:pPr>
          </w:p>
        </w:tc>
        <w:tc>
          <w:tcPr>
            <w:tcW w:w="986" w:type="dxa"/>
          </w:tcPr>
          <w:p w:rsidR="00B1455B" w:rsidRDefault="00B1455B">
            <w:pPr>
              <w:widowControl w:val="0"/>
              <w:ind w:left="360"/>
              <w:jc w:val="both"/>
            </w:pPr>
          </w:p>
        </w:tc>
      </w:tr>
      <w:tr w:rsidR="00B1455B">
        <w:tc>
          <w:tcPr>
            <w:tcW w:w="8217" w:type="dxa"/>
          </w:tcPr>
          <w:p w:rsidR="00B1455B" w:rsidRDefault="009E3CD9">
            <w:pPr>
              <w:widowControl w:val="0"/>
              <w:jc w:val="both"/>
            </w:pPr>
            <w:r>
              <w:t>L’Aggiudicatario dovrà garantire:</w:t>
            </w:r>
          </w:p>
        </w:tc>
        <w:tc>
          <w:tcPr>
            <w:tcW w:w="992" w:type="dxa"/>
          </w:tcPr>
          <w:p w:rsidR="00B1455B" w:rsidRDefault="00B1455B">
            <w:pPr>
              <w:widowControl w:val="0"/>
              <w:ind w:left="360"/>
              <w:jc w:val="both"/>
            </w:pPr>
          </w:p>
        </w:tc>
        <w:tc>
          <w:tcPr>
            <w:tcW w:w="986" w:type="dxa"/>
          </w:tcPr>
          <w:p w:rsidR="00B1455B" w:rsidRDefault="00B1455B">
            <w:pPr>
              <w:widowControl w:val="0"/>
              <w:ind w:left="360"/>
              <w:jc w:val="both"/>
            </w:pPr>
          </w:p>
        </w:tc>
      </w:tr>
      <w:tr w:rsidR="00B1455B">
        <w:tc>
          <w:tcPr>
            <w:tcW w:w="8217" w:type="dxa"/>
          </w:tcPr>
          <w:p w:rsidR="00B1455B" w:rsidRDefault="009E3CD9">
            <w:pPr>
              <w:widowControl w:val="0"/>
              <w:numPr>
                <w:ilvl w:val="0"/>
                <w:numId w:val="4"/>
              </w:numPr>
              <w:jc w:val="both"/>
            </w:pPr>
            <w:r>
              <w:t>collegamenti telematici efficienti ed affidabili che garantiscano un adeguato sistema di sicurezza tra la propria rete dati e quella dell’Università;</w:t>
            </w:r>
          </w:p>
        </w:tc>
        <w:tc>
          <w:tcPr>
            <w:tcW w:w="992" w:type="dxa"/>
          </w:tcPr>
          <w:p w:rsidR="00B1455B" w:rsidRDefault="00B1455B">
            <w:pPr>
              <w:widowControl w:val="0"/>
              <w:ind w:left="360"/>
              <w:jc w:val="both"/>
            </w:pPr>
          </w:p>
        </w:tc>
        <w:tc>
          <w:tcPr>
            <w:tcW w:w="986" w:type="dxa"/>
          </w:tcPr>
          <w:p w:rsidR="00B1455B" w:rsidRDefault="00B1455B">
            <w:pPr>
              <w:widowControl w:val="0"/>
              <w:ind w:left="360"/>
              <w:jc w:val="both"/>
            </w:pPr>
          </w:p>
        </w:tc>
      </w:tr>
      <w:tr w:rsidR="00B1455B">
        <w:tc>
          <w:tcPr>
            <w:tcW w:w="8217" w:type="dxa"/>
          </w:tcPr>
          <w:p w:rsidR="00B1455B" w:rsidRDefault="009E3CD9">
            <w:pPr>
              <w:widowControl w:val="0"/>
              <w:numPr>
                <w:ilvl w:val="0"/>
                <w:numId w:val="4"/>
              </w:numPr>
              <w:jc w:val="both"/>
            </w:pPr>
            <w:r>
              <w:t xml:space="preserve">l’adeguamento continuo delle procedure informatiche necessarie a garantire la piena rispondenza alle specifiche </w:t>
            </w:r>
            <w:proofErr w:type="spellStart"/>
            <w:r>
              <w:t>Pagopa</w:t>
            </w:r>
            <w:proofErr w:type="spellEnd"/>
            <w:r>
              <w:t xml:space="preserve"> e </w:t>
            </w:r>
            <w:proofErr w:type="spellStart"/>
            <w:r>
              <w:t>Siope</w:t>
            </w:r>
            <w:proofErr w:type="spellEnd"/>
            <w:r>
              <w:t>+;</w:t>
            </w:r>
          </w:p>
        </w:tc>
        <w:tc>
          <w:tcPr>
            <w:tcW w:w="992" w:type="dxa"/>
          </w:tcPr>
          <w:p w:rsidR="00B1455B" w:rsidRDefault="00B1455B">
            <w:pPr>
              <w:widowControl w:val="0"/>
              <w:ind w:left="360"/>
              <w:jc w:val="both"/>
            </w:pPr>
          </w:p>
        </w:tc>
        <w:tc>
          <w:tcPr>
            <w:tcW w:w="986" w:type="dxa"/>
          </w:tcPr>
          <w:p w:rsidR="00B1455B" w:rsidRDefault="00B1455B">
            <w:pPr>
              <w:widowControl w:val="0"/>
              <w:ind w:left="360"/>
              <w:jc w:val="both"/>
            </w:pPr>
          </w:p>
        </w:tc>
      </w:tr>
      <w:tr w:rsidR="00B1455B">
        <w:tc>
          <w:tcPr>
            <w:tcW w:w="8217" w:type="dxa"/>
          </w:tcPr>
          <w:p w:rsidR="00B1455B" w:rsidRDefault="009E3CD9">
            <w:pPr>
              <w:widowControl w:val="0"/>
              <w:jc w:val="both"/>
            </w:pPr>
            <w:r>
              <w:t>Eventuali malfunzionamenti alle procedure di trasmissione predisposte dall’Aggiudicatario andranno risolte entro 48 ore solari, esclusi i giorni di sabato, domenica e festivi, dalla segnalazione al Referente di cui al successivo art. 16.</w:t>
            </w:r>
          </w:p>
        </w:tc>
        <w:tc>
          <w:tcPr>
            <w:tcW w:w="992" w:type="dxa"/>
          </w:tcPr>
          <w:p w:rsidR="00B1455B" w:rsidRDefault="00B1455B">
            <w:pPr>
              <w:widowControl w:val="0"/>
              <w:ind w:left="360"/>
              <w:jc w:val="both"/>
            </w:pPr>
          </w:p>
        </w:tc>
        <w:tc>
          <w:tcPr>
            <w:tcW w:w="986" w:type="dxa"/>
          </w:tcPr>
          <w:p w:rsidR="00B1455B" w:rsidRDefault="00B1455B">
            <w:pPr>
              <w:widowControl w:val="0"/>
              <w:ind w:left="360"/>
              <w:jc w:val="both"/>
            </w:pPr>
          </w:p>
        </w:tc>
      </w:tr>
      <w:tr w:rsidR="00B1455B">
        <w:tc>
          <w:tcPr>
            <w:tcW w:w="8217" w:type="dxa"/>
          </w:tcPr>
          <w:p w:rsidR="00B1455B" w:rsidRDefault="009E3CD9">
            <w:pPr>
              <w:widowControl w:val="0"/>
              <w:rPr>
                <w:b/>
              </w:rPr>
            </w:pPr>
            <w:r>
              <w:rPr>
                <w:b/>
              </w:rPr>
              <w:t>Art. 8 – PAGAMENTO STIPENDI</w:t>
            </w:r>
          </w:p>
        </w:tc>
        <w:tc>
          <w:tcPr>
            <w:tcW w:w="992" w:type="dxa"/>
          </w:tcPr>
          <w:p w:rsidR="00B1455B" w:rsidRDefault="00B1455B">
            <w:pPr>
              <w:widowControl w:val="0"/>
              <w:ind w:left="360"/>
              <w:jc w:val="center"/>
              <w:rPr>
                <w:b/>
              </w:rPr>
            </w:pPr>
          </w:p>
        </w:tc>
        <w:tc>
          <w:tcPr>
            <w:tcW w:w="986" w:type="dxa"/>
          </w:tcPr>
          <w:p w:rsidR="00B1455B" w:rsidRDefault="00B1455B">
            <w:pPr>
              <w:widowControl w:val="0"/>
              <w:ind w:left="360"/>
              <w:jc w:val="center"/>
              <w:rPr>
                <w:b/>
              </w:rPr>
            </w:pPr>
          </w:p>
        </w:tc>
      </w:tr>
      <w:tr w:rsidR="00B1455B">
        <w:tc>
          <w:tcPr>
            <w:tcW w:w="8217" w:type="dxa"/>
          </w:tcPr>
          <w:p w:rsidR="00B1455B" w:rsidRDefault="009E3CD9">
            <w:pPr>
              <w:widowControl w:val="0"/>
              <w:jc w:val="both"/>
            </w:pPr>
            <w:r>
              <w:t>L’Aggiudicatario assumerà l'obbligo di procedere al pagamento degli stipendi ed altri emolumenti per il personale dipendente dell'Università, il giorno 25 di ogni mese da gennaio a novembre e il giorno 17 per il mese di dicembre, o quelli previsti da successiva regolamentazione e, nell'ipotesi in cui cadano in un giorno non lavorativo per il sistema bancario, il primo giorno lavorativo precedente.</w:t>
            </w:r>
          </w:p>
        </w:tc>
        <w:tc>
          <w:tcPr>
            <w:tcW w:w="992" w:type="dxa"/>
          </w:tcPr>
          <w:p w:rsidR="00B1455B" w:rsidRDefault="00B1455B">
            <w:pPr>
              <w:widowControl w:val="0"/>
              <w:ind w:left="360"/>
              <w:jc w:val="both"/>
            </w:pPr>
          </w:p>
        </w:tc>
        <w:tc>
          <w:tcPr>
            <w:tcW w:w="986" w:type="dxa"/>
          </w:tcPr>
          <w:p w:rsidR="00B1455B" w:rsidRDefault="00B1455B">
            <w:pPr>
              <w:widowControl w:val="0"/>
              <w:ind w:left="360"/>
              <w:jc w:val="both"/>
            </w:pPr>
          </w:p>
        </w:tc>
      </w:tr>
      <w:tr w:rsidR="00B1455B">
        <w:tc>
          <w:tcPr>
            <w:tcW w:w="8217" w:type="dxa"/>
          </w:tcPr>
          <w:p w:rsidR="00B1455B" w:rsidRDefault="009E3CD9">
            <w:pPr>
              <w:widowControl w:val="0"/>
              <w:jc w:val="both"/>
            </w:pPr>
            <w:r>
              <w:t>L’Aggiudicatario s'impegna ad effettuare l'accredito degli stipendi sui conti correnti dei dipendenti universitari con valuta dello stesso giorno di pagamento. L'Università farà avere all’Aggiudicatario il flusso telematico relativo ai pagamenti netti entro il secondo giorno lavorativo precedente a quello di accredito dello stipendio e il flusso telematico relativo ai pagamenti dei versamenti di legge da effettuare tramite F24 EP, entro le ore 16.00 del terzo giorno lavorativo precedente a quello di versamento. In sede di offerta potrà essere indicato un numero di giorni minore, oggetto di valutazione dell’offerta tecnica; in tale caso l'Università farà avere all’Aggiudicatario il flusso telematico relativo ai pagamenti netti e ai versamenti di legge, secondo i termini previsti nell’offerta. L’Università emetterà successivamente i relativi ordinativi informatici per la regolarizzazione degli importi versati.</w:t>
            </w:r>
          </w:p>
        </w:tc>
        <w:tc>
          <w:tcPr>
            <w:tcW w:w="992" w:type="dxa"/>
          </w:tcPr>
          <w:p w:rsidR="00B1455B" w:rsidRDefault="00B1455B">
            <w:pPr>
              <w:widowControl w:val="0"/>
              <w:ind w:left="360"/>
              <w:jc w:val="both"/>
            </w:pPr>
          </w:p>
        </w:tc>
        <w:tc>
          <w:tcPr>
            <w:tcW w:w="986" w:type="dxa"/>
          </w:tcPr>
          <w:p w:rsidR="00B1455B" w:rsidRDefault="00B1455B">
            <w:pPr>
              <w:widowControl w:val="0"/>
              <w:ind w:left="360"/>
              <w:jc w:val="both"/>
            </w:pPr>
          </w:p>
        </w:tc>
      </w:tr>
      <w:tr w:rsidR="00B1455B">
        <w:tc>
          <w:tcPr>
            <w:tcW w:w="8217" w:type="dxa"/>
          </w:tcPr>
          <w:p w:rsidR="00B1455B" w:rsidRDefault="009E3CD9">
            <w:pPr>
              <w:widowControl w:val="0"/>
              <w:jc w:val="both"/>
            </w:pPr>
            <w:r>
              <w:t>L’Aggiudicatario assume altresì l'obbligo di procedere ai pagamenti inframensili ai dipendenti di spettanze diverse a semplice richiesta dell'Università.</w:t>
            </w:r>
          </w:p>
        </w:tc>
        <w:tc>
          <w:tcPr>
            <w:tcW w:w="992" w:type="dxa"/>
          </w:tcPr>
          <w:p w:rsidR="00B1455B" w:rsidRDefault="00B1455B">
            <w:pPr>
              <w:widowControl w:val="0"/>
              <w:ind w:left="360"/>
              <w:jc w:val="both"/>
            </w:pPr>
          </w:p>
        </w:tc>
        <w:tc>
          <w:tcPr>
            <w:tcW w:w="986" w:type="dxa"/>
          </w:tcPr>
          <w:p w:rsidR="00B1455B" w:rsidRDefault="00B1455B">
            <w:pPr>
              <w:widowControl w:val="0"/>
              <w:ind w:left="360"/>
              <w:jc w:val="both"/>
            </w:pPr>
          </w:p>
        </w:tc>
      </w:tr>
      <w:tr w:rsidR="00B1455B">
        <w:tc>
          <w:tcPr>
            <w:tcW w:w="8217" w:type="dxa"/>
          </w:tcPr>
          <w:p w:rsidR="00B1455B" w:rsidRDefault="009E3CD9">
            <w:pPr>
              <w:widowControl w:val="0"/>
              <w:jc w:val="both"/>
            </w:pPr>
            <w:r>
              <w:t>Le predette operazioni dovranno avvenire senza dar luogo ad alcuna commissione dell’aggiudicatario a carico dell'Università e dei dipendenti anche in caso di bonifici nazionali ed esteri sia verso paesi UE che extra UE, con esclusione delle spese vive, ad esempio per bolli e commissioni di altri Prestatori di servizi di pagamento.</w:t>
            </w:r>
          </w:p>
        </w:tc>
        <w:tc>
          <w:tcPr>
            <w:tcW w:w="992" w:type="dxa"/>
          </w:tcPr>
          <w:p w:rsidR="00B1455B" w:rsidRDefault="00B1455B">
            <w:pPr>
              <w:widowControl w:val="0"/>
              <w:ind w:left="360"/>
              <w:jc w:val="both"/>
            </w:pPr>
          </w:p>
        </w:tc>
        <w:tc>
          <w:tcPr>
            <w:tcW w:w="986" w:type="dxa"/>
          </w:tcPr>
          <w:p w:rsidR="00B1455B" w:rsidRDefault="00B1455B">
            <w:pPr>
              <w:widowControl w:val="0"/>
              <w:ind w:left="360"/>
              <w:jc w:val="both"/>
            </w:pPr>
          </w:p>
        </w:tc>
      </w:tr>
      <w:tr w:rsidR="00B1455B">
        <w:tc>
          <w:tcPr>
            <w:tcW w:w="8217" w:type="dxa"/>
          </w:tcPr>
          <w:p w:rsidR="00B1455B" w:rsidRDefault="009E3CD9">
            <w:pPr>
              <w:widowControl w:val="0"/>
              <w:jc w:val="both"/>
            </w:pPr>
            <w:r>
              <w:t>Per le ritenute il cui versamento è soggetto a compilazione del modello F24EP, il pagamento dovrà essere effettuato sulla base del modello stesso, l’Università emetterà i relativi ordinativi informatici per la regolarizzazione degli importi versati.</w:t>
            </w:r>
          </w:p>
        </w:tc>
        <w:tc>
          <w:tcPr>
            <w:tcW w:w="992" w:type="dxa"/>
          </w:tcPr>
          <w:p w:rsidR="00B1455B" w:rsidRDefault="00B1455B">
            <w:pPr>
              <w:widowControl w:val="0"/>
              <w:ind w:left="360"/>
              <w:jc w:val="both"/>
            </w:pPr>
          </w:p>
        </w:tc>
        <w:tc>
          <w:tcPr>
            <w:tcW w:w="986" w:type="dxa"/>
          </w:tcPr>
          <w:p w:rsidR="00B1455B" w:rsidRDefault="00B1455B">
            <w:pPr>
              <w:widowControl w:val="0"/>
              <w:ind w:left="360"/>
              <w:jc w:val="both"/>
            </w:pPr>
          </w:p>
        </w:tc>
      </w:tr>
      <w:tr w:rsidR="00B1455B">
        <w:tc>
          <w:tcPr>
            <w:tcW w:w="8217" w:type="dxa"/>
          </w:tcPr>
          <w:p w:rsidR="00B1455B" w:rsidRDefault="009E3CD9">
            <w:pPr>
              <w:widowControl w:val="0"/>
              <w:rPr>
                <w:b/>
              </w:rPr>
            </w:pPr>
            <w:r>
              <w:rPr>
                <w:b/>
              </w:rPr>
              <w:t>Art. 9 – SERVIZI AGGIUNTIVI</w:t>
            </w:r>
          </w:p>
        </w:tc>
        <w:tc>
          <w:tcPr>
            <w:tcW w:w="992" w:type="dxa"/>
          </w:tcPr>
          <w:p w:rsidR="00B1455B" w:rsidRDefault="00B1455B">
            <w:pPr>
              <w:widowControl w:val="0"/>
              <w:ind w:left="360"/>
              <w:jc w:val="center"/>
              <w:rPr>
                <w:b/>
              </w:rPr>
            </w:pPr>
          </w:p>
        </w:tc>
        <w:tc>
          <w:tcPr>
            <w:tcW w:w="986" w:type="dxa"/>
          </w:tcPr>
          <w:p w:rsidR="00B1455B" w:rsidRDefault="00B1455B">
            <w:pPr>
              <w:widowControl w:val="0"/>
              <w:ind w:left="360"/>
              <w:jc w:val="center"/>
              <w:rPr>
                <w:b/>
              </w:rPr>
            </w:pPr>
          </w:p>
        </w:tc>
      </w:tr>
      <w:tr w:rsidR="00B1455B">
        <w:tc>
          <w:tcPr>
            <w:tcW w:w="8217" w:type="dxa"/>
          </w:tcPr>
          <w:p w:rsidR="00B1455B" w:rsidRDefault="009E3CD9">
            <w:pPr>
              <w:widowControl w:val="0"/>
              <w:jc w:val="both"/>
            </w:pPr>
            <w:r>
              <w:t>L’Aggiudicatario è tenuto a rendere disponibile entro 30 giorni dalla richiesta dell’Ateneo carte di credito aziendali fino ad un massimo di 20, sul conto corrente dell’Ateneo, ai sensi delle Disposizioni interne di Ateneo allegate e senza alcun onere per l’Università.</w:t>
            </w:r>
          </w:p>
        </w:tc>
        <w:tc>
          <w:tcPr>
            <w:tcW w:w="992" w:type="dxa"/>
          </w:tcPr>
          <w:p w:rsidR="00B1455B" w:rsidRDefault="00B1455B">
            <w:pPr>
              <w:widowControl w:val="0"/>
              <w:ind w:left="360"/>
              <w:jc w:val="both"/>
            </w:pPr>
          </w:p>
        </w:tc>
        <w:tc>
          <w:tcPr>
            <w:tcW w:w="986" w:type="dxa"/>
          </w:tcPr>
          <w:p w:rsidR="00B1455B" w:rsidRDefault="00B1455B">
            <w:pPr>
              <w:widowControl w:val="0"/>
              <w:ind w:left="360"/>
              <w:jc w:val="both"/>
            </w:pPr>
          </w:p>
        </w:tc>
      </w:tr>
      <w:tr w:rsidR="00B1455B">
        <w:tc>
          <w:tcPr>
            <w:tcW w:w="8217" w:type="dxa"/>
          </w:tcPr>
          <w:p w:rsidR="00B1455B" w:rsidRDefault="009E3CD9">
            <w:pPr>
              <w:keepNext/>
              <w:widowControl w:val="0"/>
              <w:outlineLvl w:val="5"/>
              <w:rPr>
                <w:b/>
                <w:bCs/>
              </w:rPr>
            </w:pPr>
            <w:r>
              <w:rPr>
                <w:b/>
                <w:bCs/>
              </w:rPr>
              <w:t>Art. 10 – CUSTODIA TITOLI DI CREDITO</w:t>
            </w:r>
          </w:p>
        </w:tc>
        <w:tc>
          <w:tcPr>
            <w:tcW w:w="992" w:type="dxa"/>
          </w:tcPr>
          <w:p w:rsidR="00B1455B" w:rsidRDefault="00B1455B">
            <w:pPr>
              <w:keepNext/>
              <w:widowControl w:val="0"/>
              <w:ind w:left="360"/>
              <w:jc w:val="center"/>
              <w:outlineLvl w:val="5"/>
              <w:rPr>
                <w:b/>
                <w:bCs/>
              </w:rPr>
            </w:pPr>
          </w:p>
        </w:tc>
        <w:tc>
          <w:tcPr>
            <w:tcW w:w="986" w:type="dxa"/>
          </w:tcPr>
          <w:p w:rsidR="00B1455B" w:rsidRDefault="00B1455B">
            <w:pPr>
              <w:keepNext/>
              <w:widowControl w:val="0"/>
              <w:ind w:left="360"/>
              <w:jc w:val="center"/>
              <w:outlineLvl w:val="5"/>
              <w:rPr>
                <w:b/>
                <w:bCs/>
              </w:rPr>
            </w:pPr>
          </w:p>
        </w:tc>
      </w:tr>
      <w:tr w:rsidR="00B1455B">
        <w:tc>
          <w:tcPr>
            <w:tcW w:w="8217" w:type="dxa"/>
          </w:tcPr>
          <w:p w:rsidR="00B1455B" w:rsidRDefault="009E3CD9">
            <w:pPr>
              <w:widowControl w:val="0"/>
              <w:jc w:val="both"/>
            </w:pPr>
            <w:r>
              <w:t xml:space="preserve">Saranno ricevuti e custoditi dall’Aggiudicatario i titoli di credito, tanto di proprietà quanto depositati da terzi per conto dell’Università-Amministrazione centrale, a condizione però che essi siano in regola con le vigenti disposizioni di legge. </w:t>
            </w:r>
          </w:p>
        </w:tc>
        <w:tc>
          <w:tcPr>
            <w:tcW w:w="992" w:type="dxa"/>
          </w:tcPr>
          <w:p w:rsidR="00B1455B" w:rsidRDefault="00B1455B">
            <w:pPr>
              <w:widowControl w:val="0"/>
              <w:ind w:left="360"/>
              <w:jc w:val="both"/>
            </w:pPr>
          </w:p>
        </w:tc>
        <w:tc>
          <w:tcPr>
            <w:tcW w:w="986" w:type="dxa"/>
          </w:tcPr>
          <w:p w:rsidR="00B1455B" w:rsidRDefault="00B1455B">
            <w:pPr>
              <w:widowControl w:val="0"/>
              <w:ind w:left="360"/>
              <w:jc w:val="both"/>
            </w:pPr>
          </w:p>
        </w:tc>
      </w:tr>
      <w:tr w:rsidR="00B1455B">
        <w:tc>
          <w:tcPr>
            <w:tcW w:w="8217" w:type="dxa"/>
          </w:tcPr>
          <w:p w:rsidR="00B1455B" w:rsidRDefault="009E3CD9">
            <w:pPr>
              <w:keepNext/>
              <w:widowControl w:val="0"/>
              <w:outlineLvl w:val="2"/>
              <w:rPr>
                <w:b/>
                <w:bCs/>
              </w:rPr>
            </w:pPr>
            <w:r>
              <w:rPr>
                <w:b/>
                <w:bCs/>
              </w:rPr>
              <w:t>Art. 11 – CONDIZIONI DI GESTIONE DEL SERVIZIO DI CASSA</w:t>
            </w:r>
          </w:p>
        </w:tc>
        <w:tc>
          <w:tcPr>
            <w:tcW w:w="992" w:type="dxa"/>
          </w:tcPr>
          <w:p w:rsidR="00B1455B" w:rsidRDefault="00B1455B">
            <w:pPr>
              <w:keepNext/>
              <w:widowControl w:val="0"/>
              <w:ind w:left="360"/>
              <w:jc w:val="center"/>
              <w:outlineLvl w:val="2"/>
              <w:rPr>
                <w:b/>
                <w:bCs/>
              </w:rPr>
            </w:pPr>
          </w:p>
        </w:tc>
        <w:tc>
          <w:tcPr>
            <w:tcW w:w="986" w:type="dxa"/>
          </w:tcPr>
          <w:p w:rsidR="00B1455B" w:rsidRDefault="00B1455B">
            <w:pPr>
              <w:keepNext/>
              <w:widowControl w:val="0"/>
              <w:ind w:left="360"/>
              <w:jc w:val="center"/>
              <w:outlineLvl w:val="2"/>
              <w:rPr>
                <w:b/>
                <w:bCs/>
              </w:rPr>
            </w:pPr>
          </w:p>
        </w:tc>
      </w:tr>
      <w:tr w:rsidR="00B1455B">
        <w:tc>
          <w:tcPr>
            <w:tcW w:w="8217" w:type="dxa"/>
          </w:tcPr>
          <w:p w:rsidR="00B1455B" w:rsidRDefault="009E3CD9">
            <w:pPr>
              <w:widowControl w:val="0"/>
              <w:jc w:val="both"/>
            </w:pPr>
            <w:r>
              <w:t xml:space="preserve">Il servizio dovrà essere reso senza interruzioni dal 1° gennaio al 31 dicembre per </w:t>
            </w:r>
            <w:r>
              <w:lastRenderedPageBreak/>
              <w:t>ogni anno di durata della convenzione.</w:t>
            </w:r>
          </w:p>
        </w:tc>
        <w:tc>
          <w:tcPr>
            <w:tcW w:w="992" w:type="dxa"/>
          </w:tcPr>
          <w:p w:rsidR="00B1455B" w:rsidRDefault="00B1455B">
            <w:pPr>
              <w:widowControl w:val="0"/>
              <w:ind w:left="360"/>
              <w:jc w:val="both"/>
            </w:pPr>
          </w:p>
        </w:tc>
        <w:tc>
          <w:tcPr>
            <w:tcW w:w="986" w:type="dxa"/>
          </w:tcPr>
          <w:p w:rsidR="00B1455B" w:rsidRDefault="00B1455B">
            <w:pPr>
              <w:widowControl w:val="0"/>
              <w:ind w:left="360"/>
              <w:jc w:val="both"/>
            </w:pPr>
          </w:p>
        </w:tc>
      </w:tr>
      <w:tr w:rsidR="00B1455B">
        <w:tc>
          <w:tcPr>
            <w:tcW w:w="8217" w:type="dxa"/>
          </w:tcPr>
          <w:p w:rsidR="00B1455B" w:rsidRDefault="009E3CD9">
            <w:pPr>
              <w:widowControl w:val="0"/>
              <w:jc w:val="both"/>
            </w:pPr>
            <w:r>
              <w:t>Tutti i costi relativi agli interventi previsti nel presente capitolato, compresi quelli per lo scambio di flussi informatici relativi al nuovo sistema dei pagamenti elettronici, saranno a totale carico dell’Aggiudicatario. I costi relativi all’adeguamento e personalizzazione delle procedure informatiche in uso presso l’Università, se approvate dall’Università, saranno a carico della medesima.</w:t>
            </w:r>
          </w:p>
        </w:tc>
        <w:tc>
          <w:tcPr>
            <w:tcW w:w="992" w:type="dxa"/>
          </w:tcPr>
          <w:p w:rsidR="00B1455B" w:rsidRDefault="00B1455B">
            <w:pPr>
              <w:widowControl w:val="0"/>
              <w:ind w:left="360"/>
              <w:jc w:val="both"/>
            </w:pPr>
          </w:p>
        </w:tc>
        <w:tc>
          <w:tcPr>
            <w:tcW w:w="986" w:type="dxa"/>
          </w:tcPr>
          <w:p w:rsidR="00B1455B" w:rsidRDefault="00B1455B">
            <w:pPr>
              <w:widowControl w:val="0"/>
              <w:ind w:left="360"/>
              <w:jc w:val="both"/>
            </w:pPr>
          </w:p>
        </w:tc>
      </w:tr>
      <w:tr w:rsidR="00B1455B">
        <w:tc>
          <w:tcPr>
            <w:tcW w:w="8217" w:type="dxa"/>
          </w:tcPr>
          <w:p w:rsidR="00B1455B" w:rsidRDefault="009E3CD9">
            <w:pPr>
              <w:widowControl w:val="0"/>
              <w:jc w:val="both"/>
            </w:pPr>
            <w:r>
              <w:t>Non potrà essere addebitato all’Università alcun onere o commissione dell’Aggiudicatario al di fuori di quanto stabilito in sede di offerta, fatta salva la ripetizione delle spese vive sostenute (spese postali, bolli, commissioni di altri prestatori di servizi di pagamento, ecc.).</w:t>
            </w:r>
          </w:p>
        </w:tc>
        <w:tc>
          <w:tcPr>
            <w:tcW w:w="992" w:type="dxa"/>
          </w:tcPr>
          <w:p w:rsidR="00B1455B" w:rsidRDefault="00B1455B">
            <w:pPr>
              <w:widowControl w:val="0"/>
              <w:ind w:left="360"/>
              <w:jc w:val="both"/>
            </w:pPr>
          </w:p>
        </w:tc>
        <w:tc>
          <w:tcPr>
            <w:tcW w:w="986" w:type="dxa"/>
          </w:tcPr>
          <w:p w:rsidR="00B1455B" w:rsidRDefault="00B1455B">
            <w:pPr>
              <w:widowControl w:val="0"/>
              <w:ind w:left="360"/>
              <w:jc w:val="both"/>
            </w:pPr>
          </w:p>
        </w:tc>
      </w:tr>
      <w:tr w:rsidR="00B1455B">
        <w:tc>
          <w:tcPr>
            <w:tcW w:w="8217" w:type="dxa"/>
          </w:tcPr>
          <w:p w:rsidR="00B1455B" w:rsidRDefault="009E3CD9">
            <w:pPr>
              <w:widowControl w:val="0"/>
              <w:jc w:val="both"/>
            </w:pPr>
            <w:r>
              <w:t>L’aggiudicatario non potrà applicare commissioni a carico dell’Università e dei creditori dell’Università.</w:t>
            </w:r>
          </w:p>
        </w:tc>
        <w:tc>
          <w:tcPr>
            <w:tcW w:w="992" w:type="dxa"/>
          </w:tcPr>
          <w:p w:rsidR="00B1455B" w:rsidRDefault="00B1455B">
            <w:pPr>
              <w:widowControl w:val="0"/>
              <w:ind w:left="360"/>
              <w:jc w:val="both"/>
            </w:pPr>
          </w:p>
        </w:tc>
        <w:tc>
          <w:tcPr>
            <w:tcW w:w="986" w:type="dxa"/>
          </w:tcPr>
          <w:p w:rsidR="00B1455B" w:rsidRDefault="00B1455B">
            <w:pPr>
              <w:widowControl w:val="0"/>
              <w:ind w:left="360"/>
              <w:jc w:val="both"/>
            </w:pPr>
          </w:p>
        </w:tc>
      </w:tr>
      <w:tr w:rsidR="00B1455B">
        <w:tc>
          <w:tcPr>
            <w:tcW w:w="8217" w:type="dxa"/>
          </w:tcPr>
          <w:p w:rsidR="00B1455B" w:rsidRDefault="009E3CD9">
            <w:pPr>
              <w:widowControl w:val="0"/>
              <w:rPr>
                <w:b/>
              </w:rPr>
            </w:pPr>
            <w:r>
              <w:rPr>
                <w:b/>
              </w:rPr>
              <w:t>Art. 12 – GARANZIE</w:t>
            </w:r>
          </w:p>
        </w:tc>
        <w:tc>
          <w:tcPr>
            <w:tcW w:w="992" w:type="dxa"/>
          </w:tcPr>
          <w:p w:rsidR="00B1455B" w:rsidRDefault="00B1455B">
            <w:pPr>
              <w:widowControl w:val="0"/>
              <w:ind w:left="360"/>
              <w:jc w:val="center"/>
              <w:rPr>
                <w:b/>
              </w:rPr>
            </w:pPr>
          </w:p>
        </w:tc>
        <w:tc>
          <w:tcPr>
            <w:tcW w:w="986" w:type="dxa"/>
          </w:tcPr>
          <w:p w:rsidR="00B1455B" w:rsidRDefault="00B1455B">
            <w:pPr>
              <w:widowControl w:val="0"/>
              <w:ind w:left="360"/>
              <w:jc w:val="center"/>
              <w:rPr>
                <w:b/>
              </w:rPr>
            </w:pPr>
          </w:p>
        </w:tc>
      </w:tr>
      <w:tr w:rsidR="00B1455B">
        <w:tc>
          <w:tcPr>
            <w:tcW w:w="8217" w:type="dxa"/>
          </w:tcPr>
          <w:p w:rsidR="00B1455B" w:rsidRDefault="009E3CD9">
            <w:pPr>
              <w:widowControl w:val="0"/>
              <w:jc w:val="both"/>
            </w:pPr>
            <w:r w:rsidRPr="009E3CD9">
              <w:t>L’Aggiudicatario si impegna a costituire apposita garanzia definitiva ai sensi dell’art. 1</w:t>
            </w:r>
            <w:r w:rsidR="00934250">
              <w:t>17</w:t>
            </w:r>
            <w:r w:rsidRPr="009E3CD9">
              <w:t xml:space="preserve"> del D. Lgs </w:t>
            </w:r>
            <w:r w:rsidR="00C15501">
              <w:t>36/2023</w:t>
            </w:r>
            <w:r w:rsidRPr="009E3CD9">
              <w:t>.</w:t>
            </w:r>
          </w:p>
        </w:tc>
        <w:tc>
          <w:tcPr>
            <w:tcW w:w="992" w:type="dxa"/>
          </w:tcPr>
          <w:p w:rsidR="00B1455B" w:rsidRDefault="00B1455B">
            <w:pPr>
              <w:widowControl w:val="0"/>
              <w:ind w:left="360"/>
              <w:jc w:val="both"/>
            </w:pPr>
          </w:p>
        </w:tc>
        <w:tc>
          <w:tcPr>
            <w:tcW w:w="986" w:type="dxa"/>
          </w:tcPr>
          <w:p w:rsidR="00B1455B" w:rsidRDefault="00B1455B">
            <w:pPr>
              <w:widowControl w:val="0"/>
              <w:ind w:left="360"/>
              <w:jc w:val="both"/>
            </w:pPr>
          </w:p>
        </w:tc>
      </w:tr>
      <w:tr w:rsidR="00B1455B">
        <w:tc>
          <w:tcPr>
            <w:tcW w:w="8217" w:type="dxa"/>
          </w:tcPr>
          <w:p w:rsidR="00B1455B" w:rsidRDefault="009E3CD9">
            <w:pPr>
              <w:widowControl w:val="0"/>
              <w:jc w:val="both"/>
            </w:pPr>
            <w:r>
              <w:t>L’Aggiudicatario risponderà di tutte le somme e di tutti i valori che terrà in consegna per conto dell’Università.</w:t>
            </w:r>
          </w:p>
        </w:tc>
        <w:tc>
          <w:tcPr>
            <w:tcW w:w="992" w:type="dxa"/>
          </w:tcPr>
          <w:p w:rsidR="00B1455B" w:rsidRDefault="00B1455B">
            <w:pPr>
              <w:widowControl w:val="0"/>
              <w:ind w:left="360"/>
              <w:jc w:val="both"/>
            </w:pPr>
          </w:p>
        </w:tc>
        <w:tc>
          <w:tcPr>
            <w:tcW w:w="986" w:type="dxa"/>
          </w:tcPr>
          <w:p w:rsidR="00B1455B" w:rsidRDefault="00B1455B">
            <w:pPr>
              <w:widowControl w:val="0"/>
              <w:ind w:left="360"/>
              <w:jc w:val="both"/>
            </w:pPr>
          </w:p>
        </w:tc>
      </w:tr>
      <w:tr w:rsidR="00B1455B">
        <w:tc>
          <w:tcPr>
            <w:tcW w:w="8217" w:type="dxa"/>
          </w:tcPr>
          <w:p w:rsidR="00B1455B" w:rsidRDefault="009E3CD9">
            <w:pPr>
              <w:widowControl w:val="0"/>
              <w:jc w:val="both"/>
            </w:pPr>
            <w:r>
              <w:t>A garanzia dell’esatta esecuzione del servizio assunto e degli oneri nascenti, l’Aggiudicatario si obbliga in modo formale verso l’Università a tenerla indenne e manlevata da qualsiasi danno o pregiudizio potesse derivare, per effetto dell’esecuzione del servizio dell’Aggiudicatario.</w:t>
            </w:r>
          </w:p>
        </w:tc>
        <w:tc>
          <w:tcPr>
            <w:tcW w:w="992" w:type="dxa"/>
          </w:tcPr>
          <w:p w:rsidR="00B1455B" w:rsidRDefault="00B1455B">
            <w:pPr>
              <w:widowControl w:val="0"/>
              <w:ind w:left="360"/>
              <w:jc w:val="both"/>
            </w:pPr>
          </w:p>
        </w:tc>
        <w:tc>
          <w:tcPr>
            <w:tcW w:w="986" w:type="dxa"/>
          </w:tcPr>
          <w:p w:rsidR="00B1455B" w:rsidRDefault="00B1455B">
            <w:pPr>
              <w:widowControl w:val="0"/>
              <w:ind w:left="360"/>
              <w:jc w:val="both"/>
            </w:pPr>
          </w:p>
        </w:tc>
      </w:tr>
      <w:tr w:rsidR="00B1455B">
        <w:tc>
          <w:tcPr>
            <w:tcW w:w="8217" w:type="dxa"/>
          </w:tcPr>
          <w:p w:rsidR="00B1455B" w:rsidRDefault="009E3CD9">
            <w:pPr>
              <w:widowControl w:val="0"/>
              <w:jc w:val="both"/>
            </w:pPr>
            <w:r>
              <w:t>L’Aggiudicatario si obbliga a risarcire l’Università degli eventuali danni derivanti dell’inesatta esecuzione del servizio di cassa.</w:t>
            </w:r>
          </w:p>
        </w:tc>
        <w:tc>
          <w:tcPr>
            <w:tcW w:w="992" w:type="dxa"/>
          </w:tcPr>
          <w:p w:rsidR="00B1455B" w:rsidRDefault="00B1455B">
            <w:pPr>
              <w:widowControl w:val="0"/>
              <w:ind w:left="360"/>
              <w:jc w:val="both"/>
            </w:pPr>
          </w:p>
        </w:tc>
        <w:tc>
          <w:tcPr>
            <w:tcW w:w="986" w:type="dxa"/>
          </w:tcPr>
          <w:p w:rsidR="00B1455B" w:rsidRDefault="00B1455B">
            <w:pPr>
              <w:widowControl w:val="0"/>
              <w:ind w:left="360"/>
              <w:jc w:val="both"/>
            </w:pPr>
          </w:p>
        </w:tc>
      </w:tr>
      <w:tr w:rsidR="00B1455B">
        <w:tc>
          <w:tcPr>
            <w:tcW w:w="8217" w:type="dxa"/>
          </w:tcPr>
          <w:p w:rsidR="00B1455B" w:rsidRDefault="009E3CD9">
            <w:pPr>
              <w:widowControl w:val="0"/>
              <w:rPr>
                <w:b/>
              </w:rPr>
            </w:pPr>
            <w:r>
              <w:rPr>
                <w:b/>
              </w:rPr>
              <w:t>Art. 16 – REFERENTE DEL SERVIZIO PER L’AGGIUDICATARIO</w:t>
            </w:r>
          </w:p>
        </w:tc>
        <w:tc>
          <w:tcPr>
            <w:tcW w:w="992" w:type="dxa"/>
          </w:tcPr>
          <w:p w:rsidR="00B1455B" w:rsidRDefault="00B1455B">
            <w:pPr>
              <w:widowControl w:val="0"/>
              <w:ind w:left="360"/>
              <w:jc w:val="center"/>
              <w:rPr>
                <w:b/>
              </w:rPr>
            </w:pPr>
          </w:p>
        </w:tc>
        <w:tc>
          <w:tcPr>
            <w:tcW w:w="986" w:type="dxa"/>
          </w:tcPr>
          <w:p w:rsidR="00B1455B" w:rsidRDefault="00B1455B">
            <w:pPr>
              <w:widowControl w:val="0"/>
              <w:ind w:left="360"/>
              <w:jc w:val="center"/>
              <w:rPr>
                <w:b/>
              </w:rPr>
            </w:pPr>
          </w:p>
        </w:tc>
      </w:tr>
      <w:tr w:rsidR="00B1455B">
        <w:tc>
          <w:tcPr>
            <w:tcW w:w="8217" w:type="dxa"/>
          </w:tcPr>
          <w:p w:rsidR="00B1455B" w:rsidRDefault="009E3CD9">
            <w:pPr>
              <w:widowControl w:val="0"/>
              <w:jc w:val="both"/>
            </w:pPr>
            <w:r>
              <w:t xml:space="preserve">L’Aggiudicatario si impegna ad individuare prima dell’inizio del servizio due Referenti, di cui uno tecnico per l’assistenza e la manutenzione dei servizi, che avranno il compito di gestire e risolvere tempestivamente eventuali problemi o disservizi di qualunque natura, che si presentino nel corso dell’esecuzione del contratto. </w:t>
            </w:r>
          </w:p>
        </w:tc>
        <w:tc>
          <w:tcPr>
            <w:tcW w:w="992" w:type="dxa"/>
          </w:tcPr>
          <w:p w:rsidR="00B1455B" w:rsidRDefault="00B1455B">
            <w:pPr>
              <w:widowControl w:val="0"/>
              <w:ind w:left="360"/>
              <w:jc w:val="both"/>
            </w:pPr>
          </w:p>
        </w:tc>
        <w:tc>
          <w:tcPr>
            <w:tcW w:w="986" w:type="dxa"/>
          </w:tcPr>
          <w:p w:rsidR="00B1455B" w:rsidRDefault="00B1455B">
            <w:pPr>
              <w:widowControl w:val="0"/>
              <w:ind w:left="360"/>
              <w:jc w:val="both"/>
            </w:pPr>
          </w:p>
        </w:tc>
      </w:tr>
      <w:tr w:rsidR="00B1455B">
        <w:tc>
          <w:tcPr>
            <w:tcW w:w="8217" w:type="dxa"/>
          </w:tcPr>
          <w:p w:rsidR="00B1455B" w:rsidRDefault="009E3CD9">
            <w:pPr>
              <w:widowControl w:val="0"/>
              <w:rPr>
                <w:b/>
              </w:rPr>
            </w:pPr>
            <w:r>
              <w:rPr>
                <w:b/>
              </w:rPr>
              <w:t>Art. 18 – OBBLIGHI ALLA CESSAZIONE DEL SERVIZIO</w:t>
            </w:r>
          </w:p>
        </w:tc>
        <w:tc>
          <w:tcPr>
            <w:tcW w:w="992" w:type="dxa"/>
          </w:tcPr>
          <w:p w:rsidR="00B1455B" w:rsidRDefault="00B1455B">
            <w:pPr>
              <w:widowControl w:val="0"/>
              <w:ind w:left="360"/>
              <w:jc w:val="center"/>
              <w:rPr>
                <w:b/>
              </w:rPr>
            </w:pPr>
          </w:p>
        </w:tc>
        <w:tc>
          <w:tcPr>
            <w:tcW w:w="986" w:type="dxa"/>
          </w:tcPr>
          <w:p w:rsidR="00B1455B" w:rsidRDefault="00B1455B">
            <w:pPr>
              <w:widowControl w:val="0"/>
              <w:ind w:left="360"/>
              <w:jc w:val="center"/>
              <w:rPr>
                <w:b/>
              </w:rPr>
            </w:pPr>
          </w:p>
        </w:tc>
      </w:tr>
      <w:tr w:rsidR="00B1455B">
        <w:tc>
          <w:tcPr>
            <w:tcW w:w="8217" w:type="dxa"/>
          </w:tcPr>
          <w:p w:rsidR="00B1455B" w:rsidRDefault="009E3CD9">
            <w:pPr>
              <w:widowControl w:val="0"/>
              <w:jc w:val="both"/>
            </w:pPr>
            <w:r>
              <w:t>L’Aggiudicatario assume l’obbligo alla scadenza della convenzione di consentire al nuovo Aggiudicatario di subentrare pienamente nella gestione del servizio.</w:t>
            </w:r>
          </w:p>
        </w:tc>
        <w:tc>
          <w:tcPr>
            <w:tcW w:w="992" w:type="dxa"/>
          </w:tcPr>
          <w:p w:rsidR="00B1455B" w:rsidRDefault="00B1455B">
            <w:pPr>
              <w:widowControl w:val="0"/>
              <w:ind w:left="360"/>
              <w:jc w:val="both"/>
            </w:pPr>
          </w:p>
        </w:tc>
        <w:tc>
          <w:tcPr>
            <w:tcW w:w="986" w:type="dxa"/>
          </w:tcPr>
          <w:p w:rsidR="00B1455B" w:rsidRDefault="00B1455B">
            <w:pPr>
              <w:widowControl w:val="0"/>
              <w:ind w:left="360"/>
              <w:jc w:val="both"/>
            </w:pPr>
          </w:p>
        </w:tc>
      </w:tr>
      <w:tr w:rsidR="00B1455B">
        <w:tc>
          <w:tcPr>
            <w:tcW w:w="8217" w:type="dxa"/>
          </w:tcPr>
          <w:p w:rsidR="00B1455B" w:rsidRDefault="009E3CD9">
            <w:pPr>
              <w:widowControl w:val="0"/>
              <w:jc w:val="both"/>
            </w:pPr>
            <w:r>
              <w:t>L’Aggiudicatario assume l’obbligo di consentire che un’eventuale esposizione nei suoi confronti per anticipazioni effettuate venga assunta dall’Aggiudicatario subentrante.</w:t>
            </w:r>
          </w:p>
        </w:tc>
        <w:tc>
          <w:tcPr>
            <w:tcW w:w="992" w:type="dxa"/>
          </w:tcPr>
          <w:p w:rsidR="00B1455B" w:rsidRDefault="00B1455B">
            <w:pPr>
              <w:widowControl w:val="0"/>
              <w:ind w:left="360"/>
              <w:jc w:val="both"/>
            </w:pPr>
          </w:p>
        </w:tc>
        <w:tc>
          <w:tcPr>
            <w:tcW w:w="986" w:type="dxa"/>
          </w:tcPr>
          <w:p w:rsidR="00B1455B" w:rsidRDefault="00B1455B">
            <w:pPr>
              <w:widowControl w:val="0"/>
              <w:ind w:left="360"/>
              <w:jc w:val="both"/>
            </w:pPr>
          </w:p>
        </w:tc>
      </w:tr>
    </w:tbl>
    <w:p w:rsidR="00B1455B" w:rsidRDefault="00B1455B">
      <w:pPr>
        <w:rPr>
          <w:strike/>
        </w:rPr>
      </w:pPr>
    </w:p>
    <w:sectPr w:rsidR="00B1455B">
      <w:headerReference w:type="even" r:id="rId7"/>
      <w:headerReference w:type="default" r:id="rId8"/>
      <w:footerReference w:type="even" r:id="rId9"/>
      <w:footerReference w:type="default" r:id="rId10"/>
      <w:headerReference w:type="first" r:id="rId11"/>
      <w:footerReference w:type="first" r:id="rId12"/>
      <w:pgSz w:w="11906" w:h="16838"/>
      <w:pgMar w:top="1418" w:right="1134" w:bottom="1134" w:left="1134" w:header="720" w:footer="692"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3A41" w:rsidRDefault="009E3CD9">
      <w:r>
        <w:separator/>
      </w:r>
    </w:p>
  </w:endnote>
  <w:endnote w:type="continuationSeparator" w:id="0">
    <w:p w:rsidR="00C93A41" w:rsidRDefault="009E3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lbertus Extra Bold">
    <w:altName w:val="Cambria"/>
    <w:charset w:val="00"/>
    <w:family w:val="roman"/>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4F5D" w:rsidRDefault="00C04F5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455B" w:rsidRDefault="00B1455B">
    <w:pPr>
      <w:tabs>
        <w:tab w:val="left" w:pos="5812"/>
        <w:tab w:val="right" w:pos="9498"/>
      </w:tabs>
      <w:ind w:left="2124" w:firstLine="708"/>
      <w:rPr>
        <w:rFonts w:ascii="Albertus Extra Bold" w:hAnsi="Albertus Extra Bold"/>
        <w:sz w:val="18"/>
      </w:rPr>
    </w:pPr>
  </w:p>
  <w:p w:rsidR="00B1455B" w:rsidRDefault="00B1455B">
    <w:pPr>
      <w:pStyle w:val="Pidipagina"/>
      <w:rPr>
        <w:rFonts w:ascii="Tahoma" w:hAnsi="Tahoma" w:cs="Tahoma"/>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455B" w:rsidRDefault="009E3CD9">
    <w:pPr>
      <w:pStyle w:val="Pidipagina"/>
      <w:tabs>
        <w:tab w:val="clear" w:pos="9638"/>
        <w:tab w:val="right" w:pos="9498"/>
      </w:tabs>
      <w:rPr>
        <w:rFonts w:ascii="Tahoma" w:hAnsi="Tahoma" w:cs="Tahoma"/>
        <w:sz w:val="18"/>
      </w:rPr>
    </w:pPr>
    <w:r>
      <w:rPr>
        <w:rFonts w:ascii="Tahoma" w:hAnsi="Tahoma" w:cs="Tahoma"/>
        <w:sz w:val="18"/>
      </w:rPr>
      <w:tab/>
    </w:r>
    <w:r>
      <w:rPr>
        <w:rFonts w:ascii="Tahoma" w:hAnsi="Tahoma" w:cs="Tahoma"/>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3A41" w:rsidRDefault="009E3CD9">
      <w:r>
        <w:separator/>
      </w:r>
    </w:p>
  </w:footnote>
  <w:footnote w:type="continuationSeparator" w:id="0">
    <w:p w:rsidR="00C93A41" w:rsidRDefault="009E3C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4F5D" w:rsidRDefault="00C04F5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455B" w:rsidRDefault="00B1455B">
    <w:pPr>
      <w:pStyle w:val="Intestazione"/>
    </w:pPr>
  </w:p>
  <w:p w:rsidR="00B1455B" w:rsidRDefault="00B1455B">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455B" w:rsidRDefault="00B1455B">
    <w:pPr>
      <w:pStyle w:val="Intestazione"/>
    </w:pPr>
  </w:p>
  <w:p w:rsidR="00B1455B" w:rsidRPr="00C04F5D" w:rsidRDefault="009E3CD9">
    <w:pPr>
      <w:pStyle w:val="Intestazione"/>
      <w:rPr>
        <w:b/>
        <w:sz w:val="22"/>
        <w:szCs w:val="22"/>
      </w:rPr>
    </w:pPr>
    <w:r>
      <w:rPr>
        <w:sz w:val="20"/>
      </w:rPr>
      <w:tab/>
    </w:r>
    <w:r>
      <w:rPr>
        <w:sz w:val="20"/>
      </w:rPr>
      <w:tab/>
    </w:r>
    <w:bookmarkStart w:id="0" w:name="_GoBack"/>
    <w:r w:rsidRPr="00C04F5D">
      <w:rPr>
        <w:b/>
        <w:sz w:val="22"/>
        <w:szCs w:val="22"/>
      </w:rPr>
      <w:t>ALLEGATO B</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49133A"/>
    <w:multiLevelType w:val="multilevel"/>
    <w:tmpl w:val="943C2F3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3C0C4A26"/>
    <w:multiLevelType w:val="multilevel"/>
    <w:tmpl w:val="0410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 w15:restartNumberingAfterBreak="0">
    <w:nsid w:val="5513767F"/>
    <w:multiLevelType w:val="multilevel"/>
    <w:tmpl w:val="7C646480"/>
    <w:lvl w:ilvl="0">
      <w:start w:val="1"/>
      <w:numFmt w:val="bullet"/>
      <w:lvlText w:val=""/>
      <w:lvlJc w:val="left"/>
      <w:pPr>
        <w:tabs>
          <w:tab w:val="num" w:pos="992"/>
        </w:tabs>
        <w:ind w:left="992" w:hanging="425"/>
      </w:pPr>
      <w:rPr>
        <w:rFonts w:ascii="Symbol" w:hAnsi="Symbol" w:cs="Symbol" w:hint="default"/>
        <w:color w:val="auto"/>
        <w:sz w:val="20"/>
        <w:szCs w:val="18"/>
      </w:rPr>
    </w:lvl>
    <w:lvl w:ilvl="1">
      <w:start w:val="3"/>
      <w:numFmt w:val="bullet"/>
      <w:lvlText w:val=""/>
      <w:lvlJc w:val="left"/>
      <w:pPr>
        <w:tabs>
          <w:tab w:val="num" w:pos="2292"/>
        </w:tabs>
        <w:ind w:left="2289" w:hanging="357"/>
      </w:pPr>
      <w:rPr>
        <w:rFonts w:ascii="Symbol" w:hAnsi="Symbol" w:cs="Symbol" w:hint="default"/>
        <w:b w:val="0"/>
        <w:i w:val="0"/>
        <w:sz w:val="16"/>
      </w:rPr>
    </w:lvl>
    <w:lvl w:ilvl="2">
      <w:start w:val="1"/>
      <w:numFmt w:val="bullet"/>
      <w:lvlText w:val=""/>
      <w:lvlJc w:val="left"/>
      <w:pPr>
        <w:tabs>
          <w:tab w:val="num" w:pos="3012"/>
        </w:tabs>
        <w:ind w:left="3012" w:hanging="360"/>
      </w:pPr>
      <w:rPr>
        <w:rFonts w:ascii="Wingdings" w:hAnsi="Wingdings" w:cs="Wingdings" w:hint="default"/>
      </w:rPr>
    </w:lvl>
    <w:lvl w:ilvl="3">
      <w:start w:val="1"/>
      <w:numFmt w:val="bullet"/>
      <w:lvlText w:val=""/>
      <w:lvlJc w:val="left"/>
      <w:pPr>
        <w:tabs>
          <w:tab w:val="num" w:pos="3732"/>
        </w:tabs>
        <w:ind w:left="3732" w:hanging="360"/>
      </w:pPr>
      <w:rPr>
        <w:rFonts w:ascii="Symbol" w:hAnsi="Symbol" w:cs="Symbol" w:hint="default"/>
      </w:rPr>
    </w:lvl>
    <w:lvl w:ilvl="4">
      <w:start w:val="1"/>
      <w:numFmt w:val="bullet"/>
      <w:lvlText w:val="o"/>
      <w:lvlJc w:val="left"/>
      <w:pPr>
        <w:tabs>
          <w:tab w:val="num" w:pos="4452"/>
        </w:tabs>
        <w:ind w:left="4452" w:hanging="360"/>
      </w:pPr>
      <w:rPr>
        <w:rFonts w:ascii="Courier New" w:hAnsi="Courier New" w:cs="Courier New" w:hint="default"/>
      </w:rPr>
    </w:lvl>
    <w:lvl w:ilvl="5">
      <w:start w:val="1"/>
      <w:numFmt w:val="bullet"/>
      <w:lvlText w:val=""/>
      <w:lvlJc w:val="left"/>
      <w:pPr>
        <w:tabs>
          <w:tab w:val="num" w:pos="5172"/>
        </w:tabs>
        <w:ind w:left="5172" w:hanging="360"/>
      </w:pPr>
      <w:rPr>
        <w:rFonts w:ascii="Wingdings" w:hAnsi="Wingdings" w:cs="Wingdings" w:hint="default"/>
      </w:rPr>
    </w:lvl>
    <w:lvl w:ilvl="6">
      <w:start w:val="1"/>
      <w:numFmt w:val="bullet"/>
      <w:lvlText w:val=""/>
      <w:lvlJc w:val="left"/>
      <w:pPr>
        <w:tabs>
          <w:tab w:val="num" w:pos="5892"/>
        </w:tabs>
        <w:ind w:left="5892" w:hanging="360"/>
      </w:pPr>
      <w:rPr>
        <w:rFonts w:ascii="Symbol" w:hAnsi="Symbol" w:cs="Symbol" w:hint="default"/>
      </w:rPr>
    </w:lvl>
    <w:lvl w:ilvl="7">
      <w:start w:val="1"/>
      <w:numFmt w:val="bullet"/>
      <w:lvlText w:val="o"/>
      <w:lvlJc w:val="left"/>
      <w:pPr>
        <w:tabs>
          <w:tab w:val="num" w:pos="6612"/>
        </w:tabs>
        <w:ind w:left="6612" w:hanging="360"/>
      </w:pPr>
      <w:rPr>
        <w:rFonts w:ascii="Courier New" w:hAnsi="Courier New" w:cs="Courier New" w:hint="default"/>
      </w:rPr>
    </w:lvl>
    <w:lvl w:ilvl="8">
      <w:start w:val="1"/>
      <w:numFmt w:val="bullet"/>
      <w:lvlText w:val=""/>
      <w:lvlJc w:val="left"/>
      <w:pPr>
        <w:tabs>
          <w:tab w:val="num" w:pos="7332"/>
        </w:tabs>
        <w:ind w:left="7332" w:hanging="360"/>
      </w:pPr>
      <w:rPr>
        <w:rFonts w:ascii="Wingdings" w:hAnsi="Wingdings" w:cs="Wingdings" w:hint="default"/>
      </w:rPr>
    </w:lvl>
  </w:abstractNum>
  <w:abstractNum w:abstractNumId="3" w15:restartNumberingAfterBreak="0">
    <w:nsid w:val="59665594"/>
    <w:multiLevelType w:val="multilevel"/>
    <w:tmpl w:val="A15EFFA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6AB56606"/>
    <w:multiLevelType w:val="multilevel"/>
    <w:tmpl w:val="900E10B8"/>
    <w:lvl w:ilvl="0">
      <w:start w:val="1"/>
      <w:numFmt w:val="bullet"/>
      <w:lvlText w:val=""/>
      <w:lvlJc w:val="left"/>
      <w:pPr>
        <w:tabs>
          <w:tab w:val="num" w:pos="1321"/>
        </w:tabs>
        <w:ind w:left="1321" w:hanging="547"/>
      </w:pPr>
      <w:rPr>
        <w:rFonts w:ascii="Wingdings" w:hAnsi="Wingdings" w:cs="Wingdings" w:hint="default"/>
      </w:rPr>
    </w:lvl>
    <w:lvl w:ilvl="1">
      <w:start w:val="1"/>
      <w:numFmt w:val="bullet"/>
      <w:lvlText w:val="o"/>
      <w:lvlJc w:val="left"/>
      <w:pPr>
        <w:tabs>
          <w:tab w:val="num" w:pos="1647"/>
        </w:tabs>
        <w:ind w:left="1647" w:hanging="360"/>
      </w:pPr>
      <w:rPr>
        <w:rFonts w:ascii="Courier New" w:hAnsi="Courier New" w:cs="Courier New" w:hint="default"/>
      </w:rPr>
    </w:lvl>
    <w:lvl w:ilvl="2">
      <w:start w:val="1"/>
      <w:numFmt w:val="bullet"/>
      <w:lvlText w:val=""/>
      <w:lvlJc w:val="left"/>
      <w:pPr>
        <w:tabs>
          <w:tab w:val="num" w:pos="2367"/>
        </w:tabs>
        <w:ind w:left="2367" w:hanging="360"/>
      </w:pPr>
      <w:rPr>
        <w:rFonts w:ascii="Wingdings" w:hAnsi="Wingdings" w:cs="Wingdings" w:hint="default"/>
      </w:rPr>
    </w:lvl>
    <w:lvl w:ilvl="3">
      <w:start w:val="1"/>
      <w:numFmt w:val="bullet"/>
      <w:lvlText w:val=""/>
      <w:lvlJc w:val="left"/>
      <w:pPr>
        <w:tabs>
          <w:tab w:val="num" w:pos="3087"/>
        </w:tabs>
        <w:ind w:left="3087" w:hanging="360"/>
      </w:pPr>
      <w:rPr>
        <w:rFonts w:ascii="Symbol" w:hAnsi="Symbol" w:cs="Symbol" w:hint="default"/>
      </w:rPr>
    </w:lvl>
    <w:lvl w:ilvl="4">
      <w:start w:val="1"/>
      <w:numFmt w:val="bullet"/>
      <w:lvlText w:val="o"/>
      <w:lvlJc w:val="left"/>
      <w:pPr>
        <w:tabs>
          <w:tab w:val="num" w:pos="3807"/>
        </w:tabs>
        <w:ind w:left="3807" w:hanging="360"/>
      </w:pPr>
      <w:rPr>
        <w:rFonts w:ascii="Courier New" w:hAnsi="Courier New" w:cs="Courier New" w:hint="default"/>
      </w:rPr>
    </w:lvl>
    <w:lvl w:ilvl="5">
      <w:start w:val="1"/>
      <w:numFmt w:val="bullet"/>
      <w:lvlText w:val=""/>
      <w:lvlJc w:val="left"/>
      <w:pPr>
        <w:tabs>
          <w:tab w:val="num" w:pos="4527"/>
        </w:tabs>
        <w:ind w:left="4527" w:hanging="360"/>
      </w:pPr>
      <w:rPr>
        <w:rFonts w:ascii="Wingdings" w:hAnsi="Wingdings" w:cs="Wingdings" w:hint="default"/>
      </w:rPr>
    </w:lvl>
    <w:lvl w:ilvl="6">
      <w:start w:val="1"/>
      <w:numFmt w:val="bullet"/>
      <w:lvlText w:val=""/>
      <w:lvlJc w:val="left"/>
      <w:pPr>
        <w:tabs>
          <w:tab w:val="num" w:pos="5247"/>
        </w:tabs>
        <w:ind w:left="5247" w:hanging="360"/>
      </w:pPr>
      <w:rPr>
        <w:rFonts w:ascii="Symbol" w:hAnsi="Symbol" w:cs="Symbol" w:hint="default"/>
      </w:rPr>
    </w:lvl>
    <w:lvl w:ilvl="7">
      <w:start w:val="1"/>
      <w:numFmt w:val="bullet"/>
      <w:lvlText w:val="o"/>
      <w:lvlJc w:val="left"/>
      <w:pPr>
        <w:tabs>
          <w:tab w:val="num" w:pos="5967"/>
        </w:tabs>
        <w:ind w:left="5967" w:hanging="360"/>
      </w:pPr>
      <w:rPr>
        <w:rFonts w:ascii="Courier New" w:hAnsi="Courier New" w:cs="Courier New" w:hint="default"/>
      </w:rPr>
    </w:lvl>
    <w:lvl w:ilvl="8">
      <w:start w:val="1"/>
      <w:numFmt w:val="bullet"/>
      <w:lvlText w:val=""/>
      <w:lvlJc w:val="left"/>
      <w:pPr>
        <w:tabs>
          <w:tab w:val="num" w:pos="6687"/>
        </w:tabs>
        <w:ind w:left="6687" w:hanging="360"/>
      </w:pPr>
      <w:rPr>
        <w:rFonts w:ascii="Wingdings" w:hAnsi="Wingdings" w:cs="Wingdings" w:hint="default"/>
      </w:rPr>
    </w:lvl>
  </w:abstractNum>
  <w:abstractNum w:abstractNumId="5" w15:restartNumberingAfterBreak="0">
    <w:nsid w:val="70E138F1"/>
    <w:multiLevelType w:val="multilevel"/>
    <w:tmpl w:val="5B5C618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73C51A60"/>
    <w:multiLevelType w:val="multilevel"/>
    <w:tmpl w:val="00D0649E"/>
    <w:lvl w:ilvl="0">
      <w:start w:val="1"/>
      <w:numFmt w:val="decimal"/>
      <w:lvlText w:val="%1)"/>
      <w:lvlJc w:val="left"/>
      <w:pPr>
        <w:tabs>
          <w:tab w:val="num" w:pos="720"/>
        </w:tabs>
        <w:ind w:left="720" w:hanging="360"/>
      </w:pPr>
      <w:rPr>
        <w:b w:val="0"/>
        <w:i w:val="0"/>
      </w:rPr>
    </w:lvl>
    <w:lvl w:ilvl="1">
      <w:start w:val="1"/>
      <w:numFmt w:val="decimal"/>
      <w:lvlText w:val="%2."/>
      <w:lvlJc w:val="left"/>
      <w:pPr>
        <w:tabs>
          <w:tab w:val="num" w:pos="1440"/>
        </w:tabs>
        <w:ind w:left="1440" w:hanging="360"/>
      </w:pPr>
      <w:rPr>
        <w:b/>
      </w:rPr>
    </w:lvl>
    <w:lvl w:ilvl="2">
      <w:start w:val="1"/>
      <w:numFmt w:val="decimal"/>
      <w:lvlText w:val="%3."/>
      <w:lvlJc w:val="left"/>
      <w:pPr>
        <w:tabs>
          <w:tab w:val="num" w:pos="2340"/>
        </w:tabs>
        <w:ind w:left="2340" w:hanging="360"/>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6"/>
  </w:num>
  <w:num w:numId="2">
    <w:abstractNumId w:val="0"/>
  </w:num>
  <w:num w:numId="3">
    <w:abstractNumId w:val="4"/>
  </w:num>
  <w:num w:numId="4">
    <w:abstractNumId w:val="3"/>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55B"/>
    <w:rsid w:val="00934250"/>
    <w:rsid w:val="009E3CD9"/>
    <w:rsid w:val="00B1455B"/>
    <w:rsid w:val="00C04F5D"/>
    <w:rsid w:val="00C15501"/>
    <w:rsid w:val="00C93A41"/>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A9DBC5-84C6-433D-9808-4EDF88005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3C0CB0"/>
    <w:rPr>
      <w:rFonts w:ascii="Times New Roman" w:eastAsia="Times New Roman" w:hAnsi="Times New Roman" w:cs="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qFormat/>
    <w:rsid w:val="003C0CB0"/>
    <w:rPr>
      <w:rFonts w:ascii="Times New Roman" w:eastAsia="Times New Roman" w:hAnsi="Times New Roman" w:cs="Times New Roman"/>
      <w:sz w:val="24"/>
      <w:szCs w:val="20"/>
      <w:lang w:eastAsia="it-IT"/>
    </w:rPr>
  </w:style>
  <w:style w:type="character" w:customStyle="1" w:styleId="PidipaginaCarattere">
    <w:name w:val="Piè di pagina Carattere"/>
    <w:basedOn w:val="Carpredefinitoparagrafo"/>
    <w:link w:val="Pidipagina"/>
    <w:qFormat/>
    <w:rsid w:val="003C0CB0"/>
    <w:rPr>
      <w:rFonts w:ascii="Times New Roman" w:eastAsia="Times New Roman" w:hAnsi="Times New Roman" w:cs="Times New Roman"/>
      <w:sz w:val="24"/>
      <w:szCs w:val="20"/>
      <w:lang w:eastAsia="it-IT"/>
    </w:rPr>
  </w:style>
  <w:style w:type="character" w:customStyle="1" w:styleId="CollegamentoInternet">
    <w:name w:val="Collegamento Internet"/>
    <w:uiPriority w:val="99"/>
    <w:unhideWhenUsed/>
    <w:rsid w:val="003C0CB0"/>
    <w:rPr>
      <w:color w:val="0000FF"/>
      <w:u w:val="single"/>
    </w:rPr>
  </w:style>
  <w:style w:type="character" w:customStyle="1" w:styleId="TestofumettoCarattere">
    <w:name w:val="Testo fumetto Carattere"/>
    <w:basedOn w:val="Carpredefinitoparagrafo"/>
    <w:link w:val="Testofumetto"/>
    <w:uiPriority w:val="99"/>
    <w:semiHidden/>
    <w:qFormat/>
    <w:rsid w:val="00943AD5"/>
    <w:rPr>
      <w:rFonts w:ascii="Segoe UI" w:eastAsia="Times New Roman" w:hAnsi="Segoe UI" w:cs="Segoe UI"/>
      <w:sz w:val="18"/>
      <w:szCs w:val="18"/>
      <w:lang w:eastAsia="it-IT"/>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Cs w:val="24"/>
    </w:rPr>
  </w:style>
  <w:style w:type="paragraph" w:customStyle="1" w:styleId="Indice">
    <w:name w:val="Indice"/>
    <w:basedOn w:val="Normale"/>
    <w:qFormat/>
    <w:pPr>
      <w:suppressLineNumbers/>
    </w:pPr>
    <w:rPr>
      <w:rFonts w:cs="Lucida Sans"/>
    </w:rPr>
  </w:style>
  <w:style w:type="paragraph" w:customStyle="1" w:styleId="Intestazioneepidipagina">
    <w:name w:val="Intestazione e piè di pagina"/>
    <w:basedOn w:val="Normale"/>
    <w:qFormat/>
  </w:style>
  <w:style w:type="paragraph" w:styleId="Intestazione">
    <w:name w:val="header"/>
    <w:basedOn w:val="Normale"/>
    <w:link w:val="IntestazioneCarattere"/>
    <w:rsid w:val="003C0CB0"/>
    <w:pPr>
      <w:tabs>
        <w:tab w:val="center" w:pos="4819"/>
        <w:tab w:val="right" w:pos="9638"/>
      </w:tabs>
    </w:pPr>
  </w:style>
  <w:style w:type="paragraph" w:styleId="Pidipagina">
    <w:name w:val="footer"/>
    <w:basedOn w:val="Normale"/>
    <w:link w:val="PidipaginaCarattere"/>
    <w:rsid w:val="003C0CB0"/>
    <w:pPr>
      <w:tabs>
        <w:tab w:val="center" w:pos="4819"/>
        <w:tab w:val="right" w:pos="9638"/>
      </w:tabs>
    </w:pPr>
  </w:style>
  <w:style w:type="paragraph" w:styleId="Paragrafoelenco">
    <w:name w:val="List Paragraph"/>
    <w:basedOn w:val="Normale"/>
    <w:uiPriority w:val="34"/>
    <w:qFormat/>
    <w:rsid w:val="00943AD5"/>
    <w:pPr>
      <w:ind w:left="720"/>
      <w:contextualSpacing/>
    </w:pPr>
  </w:style>
  <w:style w:type="paragraph" w:styleId="Testofumetto">
    <w:name w:val="Balloon Text"/>
    <w:basedOn w:val="Normale"/>
    <w:link w:val="TestofumettoCarattere"/>
    <w:uiPriority w:val="99"/>
    <w:semiHidden/>
    <w:unhideWhenUsed/>
    <w:qFormat/>
    <w:rsid w:val="00943AD5"/>
    <w:rPr>
      <w:rFonts w:ascii="Segoe UI" w:hAnsi="Segoe UI" w:cs="Segoe UI"/>
      <w:sz w:val="18"/>
      <w:szCs w:val="18"/>
    </w:rPr>
  </w:style>
  <w:style w:type="table" w:styleId="Grigliatabella">
    <w:name w:val="Table Grid"/>
    <w:basedOn w:val="Tabellanormale"/>
    <w:uiPriority w:val="39"/>
    <w:rsid w:val="00943A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366</TotalTime>
  <Pages>5</Pages>
  <Words>2298</Words>
  <Characters>13099</Characters>
  <Application>Microsoft Office Word</Application>
  <DocSecurity>0</DocSecurity>
  <Lines>109</Lines>
  <Paragraphs>30</Paragraphs>
  <ScaleCrop>false</ScaleCrop>
  <Company/>
  <LinksUpToDate>false</LinksUpToDate>
  <CharactersWithSpaces>15367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Elisabetta Zemignani</dc:creator>
  <dc:description/>
  <cp:lastModifiedBy>Annamaria Formiglio</cp:lastModifiedBy>
  <cp:revision>21</cp:revision>
  <cp:lastPrinted>2019-06-21T09:25:00Z</cp:lastPrinted>
  <dcterms:created xsi:type="dcterms:W3CDTF">2019-06-17T11:42:00Z</dcterms:created>
  <dcterms:modified xsi:type="dcterms:W3CDTF">2023-08-21T14:34:00Z</dcterms:modified>
  <dc:language>it-IT</dc:language>
</cp:coreProperties>
</file>